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CAPH/201/2016 vom 18. November 2016</w:t>
      </w:r>
    </w:p>
    <w:p>
      <w:r>
        <w:t>GE Cour de justice, 2016-11-18, FR</w:t>
      </w:r>
    </w:p>
    <w:p>
      <w:r>
        <w:rPr>
          <w:b/>
        </w:rPr>
        <w:t xml:space="preserve">Quelle: </w:t>
      </w:r>
      <w:r>
        <w:t>https://mcp.opencaselaw.ch/entscheid/ge_gerichte_CAPH_201_2016</w:t>
      </w:r>
    </w:p>
    <w:p>
      <w:r>
        <w:t>FR: GE_GERICHTE CAPH/201/2016 du 18 novembre 2016</w:t>
      </w:r>
    </w:p>
    <w:p>
      <w:r>
        <w:t>IT: GE_GERICHTE CAPH/201/2016 del 18 novembre 2016</w:t>
      </w:r>
    </w:p>
    <w:p>
      <w:pPr>
        <w:pStyle w:val="Heading2"/>
      </w:pPr>
      <w:r>
        <w:t>Erwägungen</w:t>
      </w:r>
    </w:p>
    <w:p>
      <w:r>
        <w:rPr>
          <w:b/>
        </w:rPr>
        <w:t>E. 1.1</w:t>
      </w:r>
    </w:p>
    <w:p>
      <w:r>
        <w:t>L'appel a été interjeté auprès de l'autorité compétente (art. 124 let. a LOJ) et dans le délai utile de trente jours (art. 145 al. 1 let. c et 311 al. 1 CPC), à l'encontre d'une décision finale (art. 308 al. 1 let. a CPC) rendue dans une affaire patrimoniale dont la valeur litigieuse est, compte tenu de la quotité des prétentions contestées en première instance, supérieure à 10'000 fr. (art. 91 et 308 al. 2 CPC). Il est ainsi recevable sous cet aspect. Selon l'art. 311 al. 1 CPC, l'appel doit être motivé. L'appelant doit contester, sous peine d'irrecevabilité, toutes les motivations alternatives et indépendantes sur lesquelles se fonde le jugement attaqué. En l'espèce, le Tribunal a développé une motivation subsidiaire en relation avec la prétention en réparation du tort moral. Il a considéré que l'appelant n'avait pas démontré que l'atteinte portée à ses droits de la personnalité était particulièrement grave au sens de l'art. 49 CO. L'appelant n'a pas contesté cette motivation, se bornant à soutenir qu'une indemnité pour tort moral lui était due dans la mesure où le licenciement immédiat n'était pas justifié. Ainsi, son appel est irrecevable en tant qu'il vise le rejet de sa prétention en paiement d'une indemnité pour tort moral. Pour le reste, l'appel est recevable. La motivation de celui-ci est en effet suffisamment explicite et l'intimé a d'ailleurs pu répondre sur tous les points, malgré l'inexactitude de certaines références au jugement attaqué.</w:t>
      </w:r>
    </w:p>
    <w:p>
      <w:r>
        <w:rPr>
          <w:b/>
        </w:rPr>
        <w:t>E. 1.2</w:t>
      </w:r>
    </w:p>
    <w:p>
      <w:r>
        <w:t>La réplique du 11 avril 2016 est recevable. L'intimée a été en mesure de dupliquer, même si certaines références de la réplique étaient inexactes. En revanche, l'écriture de l'appelant du 14 avril 2016 a été déposée hors délai et est ainsi irrecevable.</w:t>
      </w:r>
    </w:p>
    <w:p>
      <w:r>
        <w:rPr>
          <w:b/>
        </w:rPr>
        <w:t>E. 1.3</w:t>
      </w:r>
    </w:p>
    <w:p>
      <w:r>
        <w:t>L'appel peut être formé pour violation du droit et/ou constatation inexacte des faits (art. 310 CPC). La Cour dispose d'un pouvoir de cognition complet et revoit librement les questions de faits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t>- 14/20 -</w:t>
      </w:r>
    </w:p>
    <w:p>
      <w:r>
        <w:t>C/24923/2013-2</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2</w:t>
      </w:r>
    </w:p>
    <w:p>
      <w:r>
        <w:t>Compte tenu de la valeur litigieuse, la procédure est gratuite (art. 116 CPC, art. 19 al. 3 let. c LaCC). Il n'est pas alloué de dépens (art. 22 al. 2 LaCC).</w:t>
      </w:r>
    </w:p>
    <w:p>
      <w:r>
        <w:t>* * * * *</w:t>
      </w:r>
    </w:p>
    <w:p>
      <w:r>
        <w:t>- 20/20 -</w:t>
      </w:r>
    </w:p>
    <w:p>
      <w:r>
        <w:t>C/24923/2013-2 PAR CES MOTIFS, La Chambre des prud'hommes, groupe 2 : A la forme : Déclare recevable l'appel interjeté le 19 janvier 2016 par A______ contre le jugement JTPH/513/2015 rendu le 3 décembre 2015 par le Tribunal des prud'hommes dans la cause C/24923/2013-2,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w:t>
      </w:r>
    </w:p>
    <w:p>
      <w:r>
        <w:t>- 15/20 -</w:t>
      </w:r>
    </w:p>
    <w:p>
      <w:r>
        <w:t>C/24923/2013-2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qui ne se justifie qu'en cas d'échec des négociations) (AUER/MALINVERNI/HOTTELIER, Droit constitutionnel suisse, 3ème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w:t>
      </w:r>
    </w:p>
    <w:p>
      <w:r>
        <w:t>- 16/20 -</w:t>
      </w:r>
    </w:p>
    <w:p>
      <w:r>
        <w:t>C/24923/2013-2 d'un exercice licite du droit de grève (AUBERT-PIGUET, L'exercice du droit de grève, in PJA 1996 1497 et ss, p. 1503). Si certaines mesures de combat syndical peuvent être licites au titre d'ultima ratio,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t>- 17/20 -</w:t>
      </w:r>
    </w:p>
    <w:p>
      <w:r>
        <w:t>C/24923/2013-2</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w:t>
      </w:r>
    </w:p>
    <w:p>
      <w:r>
        <w:t>- 18/20 -</w:t>
      </w:r>
    </w:p>
    <w:p>
      <w:r>
        <w:t>C/24923/2013-2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 ne pouvait réclamer ni ce qu'il aurait gagné si les rapports de travail avaient pris fin à l'expiration du délai de congé, ni une indemnité pour résiliation immédiate injustifiée. C'est également à raison que le Tribunal a rejeté les prétentions de la caisse de chômage.</w:t>
      </w:r>
    </w:p>
    <w:p>
      <w:r>
        <w:t>- 19/20 -</w:t>
      </w:r>
    </w:p>
    <w:p>
      <w:r>
        <w:t>C/24923/2013-2 Le jugement attaqué sera donc confirmé, sans qu'il ne soit nécessaire d'examiner les autres griefs de l'appelant, lesquels visent la constatation par le Tribunal de faits qui ne sont pas déterminants pour la solution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