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CAPH/201/2011 vom 29. November 2011</w:t>
      </w:r>
    </w:p>
    <w:p>
      <w:r>
        <w:t>GE Cour de justice, 2011-11-29, FR</w:t>
      </w:r>
    </w:p>
    <w:p>
      <w:r>
        <w:rPr>
          <w:b/>
        </w:rPr>
        <w:t xml:space="preserve">Quelle: </w:t>
      </w:r>
      <w:r>
        <w:t>https://mcp.opencaselaw.ch/entscheid/ge_gerichte_CAPH_201_2011</w:t>
      </w:r>
    </w:p>
    <w:p>
      <w:r>
        <w:t>FR: GE_GERICHTE CAPH/201/2011 du 29 novembre 2011</w:t>
      </w:r>
    </w:p>
    <w:p>
      <w:r>
        <w:t>IT: GE_GERICHTE CAPH/201/2011 del 29 novembre 2011</w:t>
      </w:r>
    </w:p>
    <w:p>
      <w:pPr>
        <w:pStyle w:val="Heading2"/>
      </w:pPr>
      <w:r>
        <w:t>Erwägungen</w:t>
      </w:r>
    </w:p>
    <w:p>
      <w:r>
        <w:rPr>
          <w:b/>
        </w:rPr>
        <w:t>E. 1</w:t>
      </w:r>
    </w:p>
    <w:p>
      <w:r>
        <w:t>Conformément à l’article 405 al. 1 CPC du 19 décembre 2008, les recours sont régis par le droit en vigueur au moment de la communication de la décision aux parties. C’est donc à la lumière de la loi de procédure civile genevoise (aLPC) et de la loi sur la juridiction des prud’hommes genevoise (aLJP) que devra être exa- miné le présent appel.</w:t>
      </w:r>
    </w:p>
    <w:p>
      <w:r>
        <w:rPr>
          <w:b/>
        </w:rPr>
        <w:t>E. 2</w:t>
      </w:r>
    </w:p>
    <w:p>
      <w:r>
        <w:t>Déposé dans le délai et la forme prévus à l’article 59 aLJP, les appels sont receva- bles à la forme.</w:t>
      </w:r>
    </w:p>
    <w:p>
      <w:r>
        <w:t>Les conclusions prises en première instance portant sur une valeur supérieure à fr. 8'000.00, le Tribunal a statué en premier ressort. La Cour revoit donc la cause</w:t>
      </w:r>
    </w:p>
    <w:p>
      <w:r>
        <w:t>Cour de Justice /section civile</w:t>
      </w:r>
    </w:p>
    <w:p>
      <w:r>
        <w:t>Cause n° C/6610/2010 - 1 - 7 -</w:t>
      </w:r>
    </w:p>
    <w:p>
      <w:r>
        <w:t>* Chambre des prud'hommes *</w:t>
      </w:r>
    </w:p>
    <w:p>
      <w:r>
        <w:t>avec un plein pouvoir d’examen (art. 24 et 25 aLOJ ; 291 aLPC ; G. Aubert, Qua- tre cents arrêts sur le contrat de travail, no 449).</w:t>
      </w:r>
    </w:p>
    <w:p>
      <w:r>
        <w:rPr>
          <w:b/>
        </w:rPr>
        <w:t>E. 3</w:t>
      </w:r>
    </w:p>
    <w:p>
      <w:r>
        <w:t>Le litige porte sur la question de savoir si les intimées sont responsables du défaut de couverture maladie perte de gain de l’appelant de telle sorte que ce dernier se- rait fondé à réclamer des dommages-intérêts au sens de l’article 97 CO, en particu- lier se déterminer sur les points suivants :</w:t>
      </w:r>
    </w:p>
    <w:p>
      <w:r>
        <w:rPr>
          <w:b/>
        </w:rPr>
        <w:t>E. 4</w:t>
      </w:r>
    </w:p>
    <w:p>
      <w:r>
        <w:t>Les parties étaient liées par un contrat de travail au sens des articles 319 ss CO. Leurs relations juridiques étaient régies par la Convention collective nationale de travail (ci-après : CCNT) pour les échafaudeurs.</w:t>
      </w:r>
    </w:p>
    <w:p>
      <w:r>
        <w:rPr>
          <w:b/>
        </w:rPr>
        <w:t>E. 5</w:t>
      </w:r>
    </w:p>
    <w:p>
      <w:r>
        <w:t>Le travailleur réclame la somme de fr. 9'761.00 à titre de salaire du 1er octobre au 15 décembre 2009.</w:t>
      </w:r>
    </w:p>
    <w:p>
      <w:r>
        <w:t>Conformément à l’article 97 CO, lorsque le créancier ne peut obtenir l’exécution d’une obligation, le débiteur est tenu de réparer le dommage en résultant, à moins qu’il ne prouve qu’aucune faute ne lui est imputable.</w:t>
      </w:r>
    </w:p>
    <w:p>
      <w:r>
        <w:t>L’application de cette disposition suppose la réalisation de quatre conditions : la violation d’une obligation contractuelle, un dommage, un rapport de causalité na- turelle et adéquate et l’absence de preuve libératoire.</w:t>
      </w:r>
    </w:p>
    <w:p>
      <w:r>
        <w:t>a) L’article 333 al.1 CO dispose que si l’employeur transfère l’entreprise ou une par- tie de celle-ci à un tiers, les rapports de travail passent à l’acquéreur avec tous les droits et obligations qui en découlent au jour du transfert, à moins que le travail- leur ne s’y oppose. Toutes les obligations et tous les droits résultant du contrat ini- tial, y compris l’ancienneté, subsistent donc envers le nouvel employeur. L’article 333 al.1bis CO prévoit aussi le maintien, dans certaines limites, de la protection découlant de la convention collective de travail (CR CO I-AUBERT, art 333 CO N 4).</w:t>
      </w:r>
    </w:p>
    <w:p>
      <w:r>
        <w:t>D’après la jurisprudence, pour qu’il y ait transfert au sens de l’article 333 al.1 CO, il suffit que l’exploitation soit effectivement poursuivie ou reprise par le nouveau chef d’entreprise (ATF 123 III 466 consid. 3a). Lorsque le contrat de travail pré- voit expressément des prestations d’assurance complémentaires à celles obligatoi- rement prévues par la loi, il s’agit alors d’une obligation contractuelle qui est en- globée dans les droits et obligations faisant l’objet de la protection de l’art. 333 CO (arrêt 4C.50/2002 consid. 1b, WYLER, Droit du travail, 2ème édition, Berne 2008, p.421). En l’espèce, il est établi que l’entreprise transférante a résilié le contrat d’assurance pour la date du transfert et que l’exploitant reprenant n’avait pas de couverture d’assurance à la date de la reprise, de sorte qu’il n’a pas satisfait à son obligation d’assurance prévue par le contrat qui lui a été transféré.</w:t>
      </w:r>
    </w:p>
    <w:p>
      <w:r>
        <w:t>D’autre part, les conditions générales d’assurance stipulent à l’article 21 al.1 que le preneur d’assurance est tenu d’informer les assurés sur leurs droits et obliga-</w:t>
      </w:r>
    </w:p>
    <w:p>
      <w:r>
        <w:t>Cour de Justice /section civile</w:t>
      </w:r>
    </w:p>
    <w:p>
      <w:r>
        <w:t>Cause n° C/6610/2010 - 1 - 8 -</w:t>
      </w:r>
    </w:p>
    <w:p>
      <w:r>
        <w:t>* Chambre des prud'hommes *</w:t>
      </w:r>
    </w:p>
    <w:p>
      <w:r>
        <w:t>tions qui découlent de l’assurance, en particulier sur la possibilité de maintenir la couverture d’assurance lorsqu’ils cessent d’appartenir au cercle des personnes as- surées ou lorsque le contrat prend fin.</w:t>
      </w:r>
    </w:p>
    <w:p>
      <w:r>
        <w:t>En vertu de l’article 11 CGA, s’il cesse d’appartenir au cercle des assurés, a le droit de poursuivre sa couverture d’assurance en qualité de membre individuel : l’assuré, qui en vertu de la loi sur le chômage (LACI) est réputé chômeur ou l’assuré en incapacité de travail ou qui justifie d’un revenu en Suisse à la sortie du contrat collectif sous réserve de l’alinéa 6 qui prévoit notamment que le droit au passage en qualité de membre individuel n’existe pas si l’assuré quitte son emploi et passe dans l’assurance indemnité journalière d’un nouvel employeur. L’alinéa 2 quant à lui prévoit que l’assuré doit faire valoir son droit de passage dans les 90 jours dès la sortie du contrat collectif conformément à l’article 21 al.1, faute de quoi son droit s’éteint. En l’espèce, l’ancien employeur n’a pas informé l’appelant sur ses droits et obligations découlant du contrat d’assurance lors de sa résiliation, soit au 30 avril 2009. N’étant pas passé dans l’assurance indemnité journalière de J______, l’appelant disposait donc d’un droit de libre passage, qu’il n’a pas pu fai- re valoir à temps par ignorance, de sorte que celui-ci s’est éteint de façon péremp- toire. L’omission de C______ emporte donc violation de son obligation contrac- tuelle.</w:t>
      </w:r>
    </w:p>
    <w:p>
      <w:r>
        <w:t>b) Le dommage se définit en général comme une diminution involontaire du patri- moine, celle-ci pouvant consister en une perte éprouvée ou un gain manqué (CR CO I-WERRO, art. 97 N 31 et art.41 N 8). S’il n’est pas possible, lors du juge- ment, de déterminer avec une certitude suffisante les suites des lésions corporelles, le juge a le droit de réserver une révision du jugement pendant un délai de deux ans au plus à compter du jour où il a prononcé (art. 46 al.2 CO). Cette disposition est applicable en matière de responsabilité contractuelle (art.99 al.3 CO, CR CO - THEVENOZ, art 99 N 19, ATF 87 II 155 JT 1962 I 292). La jurisprudence pré- cise à ce propos, que la réserve est exceptionnelle, mais décidée d’office par le juge, qui usera d’une grande circonspection ; l’incertitude peut notamment porter sur l’évolution de la guérison ou sur l’origine de l’affection (ATF 57 II 58).</w:t>
      </w:r>
    </w:p>
    <w:p>
      <w:r>
        <w:t>L’appelant n’a pas perçu de salaire, ni d’indemnités d’assurance perte de gain du 1er octobre au 15 décembre 2009 correspondant à 80% de son salaire. Il subit un dommage équivalent aux indemnités journalières qu’il aurait dû recevoir de l’assurance G______.</w:t>
      </w:r>
    </w:p>
    <w:p>
      <w:r>
        <w:t>L’appelant a également perdu la possibilité d’être assuré perte de gain pour l’avenir. En conséquence, son patrimoine serait diminué en cas d’incapacité de travail pour cause de maladie. La Cour relève l’éventualité d’un dommage futur, mais renonce à réserver la révision du jugement dans la mesure où celui-ci serait réparable par d’autres moyens.</w:t>
      </w:r>
    </w:p>
    <w:p>
      <w:r>
        <w:t>Cour de Justice /section civile</w:t>
      </w:r>
    </w:p>
    <w:p>
      <w:r>
        <w:t>Cause n° C/6610/2010 - 1 - 9 -</w:t>
      </w:r>
    </w:p>
    <w:p>
      <w:r>
        <w:t>* Chambre des prud'hommes *</w:t>
      </w:r>
    </w:p>
    <w:p>
      <w:r>
        <w:t>c) La causalité naturelle entre les deux évènements implique que sans le premier évènement, le second ne se serait pas produit (CR CO I-WERRO, art. 97 N 31 et art.41 N 33). La causalité peut être hypothétique. Elle vise alors les cas où le dommage résulte d’une certaine cause, mais on admet qu’il serait survenu même sans elle, en vertu d’une autre cause, de nature hypothétique. En principe, cette dernière n’est pas prise en compte. La règle connaît des exceptions. Ainsi, on tient compte de la prédisposition constitutionnelle lorsque celle-ci est telle que, selon toute vraisemblance, le dommage subi se serait réalisé même sans l’accident. Le dommage qui résulte de cette prédisposition ne saurait être imputé au responsa- ble ; il ne fait pas partie du dommage. De la même façon, les habits de deuil qui auraient de toute façon été achetés ne peuvent pas faire l'objet d’une pleine in- demnité. Il faut distinguer la causalité hypothétique telle qu’elle vient d’être dé- crite de la causalité hypothétique en cas de dommage causé par une omission. Il est vrai que, dans l’ordre naturel, une omission ne peut être la cause d’un effet, car une inaction ne peut pas modifier le cours extérieur des choses. Dans l’ordre juri- dique toutefois, une omission peut être la cause d’un préjudice. Dans ce cas, on établit un rapport de causalité entre l’omission et le résultat constaté à l’aide d’une hypothèse selon laquelle le dommage ne se serait pas produit si l’intéressé avait agi conformément au droit. L’analyse se fait en deux temps : il s’agit première- ment de déterminer si l’ordre juridique imposait un devoir d’agir au « responsa- ble » et secondement d’établir si un acte de celui-ci aurait permis d’empêcher la survenance du dommage. Si ces deux conditions sont réunies, il faut admettre l’existence d’un lien de causalité hypothétique entre l’omission et le dommage. Si, en revanche, on peut conclure que le dommage serait survenu même si « l’auteur » avait agi conformément au droit, il faut exclure la responsabilité de ce dernier. On parle dans ce cas de « comportement de substitution licite » (CR CO I-WERRO, art.41 N 35 et 36).</w:t>
      </w:r>
    </w:p>
    <w:p>
      <w:r>
        <w:t>Dans le cas d’espèce, le retard dans la demande de police d’assurance perte de gain en cas de maladie a causé à l’appelant une perte des prestations d’assurance. En effet, si J______ avait entrepris les démarches avant que la reprise ne soit ef- fective, l’appelant se serait opposé au transfert, il serait ainsi resté au service de son ancien employeur qui l’aurait accepté et aurait bénéficié de la couverture de son assurance collective. Le nouvel employeur a ainsi causé une période de lacune dans la couverture qu’il devait contractuellement assurer. Le retard de l’intimée a causé la perte de la possibilité d’être assuré. En effet, si l’appelant avait su avant la reprise effective qu’il serait exclu de la police de son nouvel employeur, il serait resté chez son ancien employeur et son incapacité de mai 2009 aurait été prise en charge par l’assurance. S’agissant de la perte de la possibilité d’être assuré, si J______ avait fait les démarches à temps, l’appelant aurait pu passer à l’assurance individuelle. L’omission de J______ a donc causé le dommage.</w:t>
      </w:r>
    </w:p>
    <w:p>
      <w:r>
        <w:t>Par ailleurs, si C______ avait informé l’appelant sur ses droits et obligations à la fin du contrat d’assurance, ce dernier aurait été en mesure de faire valoir son droit de libre passage à l’assurance individuelle, la décision d’exclusion de la police d’assurance d’H______ étant intervenue le 22 juillet 2009 et le délai de péremp-</w:t>
      </w:r>
    </w:p>
    <w:p>
      <w:r>
        <w:t>Cour de Justice /section civile</w:t>
      </w:r>
    </w:p>
    <w:p>
      <w:r>
        <w:t>Cause n° C/6610/2010 - 1 - 10 -</w:t>
      </w:r>
    </w:p>
    <w:p>
      <w:r>
        <w:t>* Chambre des prud'hommes *</w:t>
      </w:r>
    </w:p>
    <w:p>
      <w:r>
        <w:t>tion arrivant à l’échéance le 31 juillet 2009. L’absence d’information a donc causé la perte du droit au libre passage de sorte que le lien de causalité naturelle est admis. De même, s’agissant de la perte de la possibilité d’être assuré. Certes l’exclusion d’une nouvelle assurance est due aux antécédents médicaux de l’appelant, mais le défaut de couverture de l’assurance de C______ est dû aux manquements des intimées.</w:t>
      </w:r>
    </w:p>
    <w:p>
      <w:r>
        <w:t>La Cour admettra donc l’existence d’un lien de causalité naturelle hypothétique entre le comportement des intimées et les dommages subis.</w:t>
      </w:r>
    </w:p>
    <w:p>
      <w:r>
        <w:t>d) D’après la théorie de la causalité adéquate, une cause n’est opérante que si, selon le cours ordinaire des choses et l’expérience de la vie, elle est propre à entraîner un effet du genre de celui qui s’est produit de sorte que la survenance de ce résul- tat paraît de façon générale favorisée par le fait en question (ATF 119 Ib 334 consid. 3c).</w:t>
      </w:r>
    </w:p>
    <w:p>
      <w:r>
        <w:t>La cause cesse d’être adéquate lorsqu’une autre cause apparaît à ce point prépon- dérante qu’elle rejette la première à l’arrière-plan ; on parle de facteurs interruptifs de causalité. Il s’agit de la force majeure, de la faute grave ou du fait d’un tiers, ainsi que de la faute grave ou du fait de la victime (CR CO – WERRO art. 41 N39). La faute ou le fait d’un tiers ne libère en principe pas non plus de sa respon- sabilité l’auteur d’un dommage. Il n’en va différemment que lorsque cette faute ou ce fait est si important qu’il apparaît comme la seule cause du dommage. Ici aussi, la jurisprudence se montre extrêmement restrictive (ATF 116 II 519, consid. 4b, JdT 1991 I 634) (CR CO – WERRO, art. 41 N 42).</w:t>
      </w:r>
    </w:p>
    <w:p>
      <w:r>
        <w:t>En l’occurrence, la demande d’offre de police d’assurance avec effet rétroactif est en principe refusée si l’employé est en incapacité au moment où il remplit le for- mulaire de santé, ce d’autant plus lorsque son dossier médical comporte des ris- ques. Il ressort des enquêtes, en particulier de l’audition des témoins V______ et B______, que la cause du refus de l’assurance réside dans les antécédents médi- caux quand bien même une incapacité de 100% était suffisante. Le lien de causali- té adéquate entre le comportement de J______ et le dommage subi est rempli. Quant à la perte de la faculté d’être assurée, celle-ci ne saurait être considérée comme l’effet objectivement prévisible du retard de J______, ce d’autant plus que l’appelant a des antécédents, mais surtout aurait pu bénéficier du libre passage si C______ l’avait informé de ce droit. Le lien de causalité adéquate fait donc défaut par rapport au dommage futur.</w:t>
      </w:r>
    </w:p>
    <w:p>
      <w:r>
        <w:t>Concernant C______, une personne non informée de son droit au libre passage et de ses modalités d’exécution est susceptible, faute d’action, de le perdre par pé- remption. S’agissant la perte de la faculté d’être assuré, elle peut être considérée comme l’effet objectivement prévisible du défaut d’information. Partant, il existe un lien de causalité adéquate entre le comportement de C______ et les deux dommages.</w:t>
      </w:r>
    </w:p>
    <w:p>
      <w:r>
        <w:t>Cour de Justice /section civile</w:t>
      </w:r>
    </w:p>
    <w:p>
      <w:r>
        <w:t>Cause n° C/6610/2010 - 1 - 11 -</w:t>
      </w:r>
    </w:p>
    <w:p>
      <w:r>
        <w:t>* Chambre des prud'hommes *</w:t>
      </w:r>
    </w:p>
    <w:p>
      <w:r>
        <w:t>e) La faute est en principe présumée, le débiteur pouvant se libérer en prouvant qu’il n’en a pas commis.</w:t>
      </w:r>
    </w:p>
    <w:p>
      <w:r>
        <w:t>Avant de reprendre une entreprise, l’acquéreur se doit d’en déterminer le contenu et, notamment, d’étudier les contrats de travail qui vont lui être automatiquement transférés. Il lui incombe ainsi d’envisager, avant que la reprise ne devienne effec- tive, toutes les mesures nécessaires pour qu’il n’y ait pas de lacune dans la couver- ture d’assurance des employés (arrêt 4C.50/2002 du 24 avril 2002, consid. 1c).</w:t>
      </w:r>
    </w:p>
    <w:p>
      <w:r>
        <w:t>L’intimée J______ a entrepris les démarches pour conclure une nouvelle police d’assurance avec la société de son choix en juin 2009 alors que la reprise a eu lieu au 1er mai et que le précédent contrat d’assurance était résilié. Ce retard n’étant justifié par aucune circonstance particulière dûment prouvée, une faute lui est donc imputable.</w:t>
      </w:r>
    </w:p>
    <w:p>
      <w:r>
        <w:t>Quant à C______, l’intimée n’a pas démontré qu’elle avait été empêchée sans fau- te de sa part de fournir l’information à l’appelant, une faute lui est donc imputable.</w:t>
      </w:r>
    </w:p>
    <w:p>
      <w:r>
        <w:t>L’arrêt querellé viole le droit fédéral en retenant que J______ et C______ n’ont commis aucune faute au sens de l’article 97 al.1 CO.</w:t>
      </w:r>
    </w:p>
    <w:p>
      <w:r>
        <w:t>L’employeur qui ne satisfait pas à son obligation contractuelle de conclure une as- surance garantissant les prestations convenues ou d’informer son employé sur ses droits et obligations à la fin du contrat d’assurance, répond, en application de l’article 97 CO, de l’inexécution de cette obligation et doit réparer le dommage qui en résulte pour le travailleur, J______ et C______ doivent donc lui verser les montants que l’assurance aurait payés du 1er octobre au 15 décembre 2009 (ATF 127 III 318 consid. 5 ; 144 III 126 consid. 4 ; 115 II 252 consid. 4b).</w:t>
      </w:r>
    </w:p>
    <w:p>
      <w:r>
        <w:t>f) Si l’indemnité est exprimée en % du salaire, elle est calculée pour les salaires ho- raires et les salaires mensuels, mais au maximum prévu par la convention collec- tive, comme suit : salaire horaire de base brut (éventuellement avec 13ème salaire) multiplié par le nombre d’heures hebdomadaires ou annuelles moyen multiplié par 52 semaines (si nombre d’heures hebdomadaires) divisé par 365 jours (y compris année bissextile) multiplié par pourcentage de couverture fixé. Le jugement entrepris sera donc annulé sur ce point (art. 12 ch. 10 CGA de G______).</w:t>
      </w:r>
    </w:p>
    <w:p>
      <w:r>
        <w:t>Selon l’article 12 al.3 CCNT, la durée annuelle et hebdomadaire du travail, le total déterminant des heures annuelles du travail (…) est de 2190 (365/7=52.14 x 42 heures) ; pause casse-croûte payée de 15 minutes par jour y comprise. La durée hebdomadaire du travail est dans la règle de 38 ¾ h (= 5 x 7 ¾ h) au minimum (let. a) et de 46 ¼ h (= 5 x 9 ¼ h) au maximum (let.b). L’annexe 2 CCNT prévoit que si aucune convention dépassant ce cadre n’est conclue, le gain journalier est calculé sur la base de la durée du travail fixée dans la CCNT (art 2 al. 2)</w:t>
      </w:r>
    </w:p>
    <w:p>
      <w:r>
        <w:t>Cour de Justice /section civile</w:t>
      </w:r>
    </w:p>
    <w:p>
      <w:r>
        <w:t>Cause n° C/6610/2010 - 1 - 12 -</w:t>
      </w:r>
    </w:p>
    <w:p>
      <w:r>
        <w:t>* Chambre des prud'hommes *</w:t>
      </w:r>
    </w:p>
    <w:p>
      <w:r>
        <w:t>Quant au pourcentage de couverture fixé, l’article 21 al.1 CCNT prévoit que l’entreprise doit assurer collectivement les travailleurs soumis à la convention pour une indemnité journalière (perte de gain) de 80% du dernier salaire normal versé selon l’horaire de travail contractuel.</w:t>
      </w:r>
    </w:p>
    <w:p>
      <w:r>
        <w:t>L’indemnité journalière assurée est octroyée dès l’expiration du délai d’attente choisi (art. 12 ch. 15 CGA de G______). L’article 21 al.3 let. b CCNT prévoit le versement d’une indemnité journalière en cas de maladie de 80% après un jour de carence au plus à la charge du travailleur.</w:t>
      </w:r>
    </w:p>
    <w:p>
      <w:r>
        <w:t>En l’espèce, l’indemnité journalière s’élève à fr. 140.96. L’incapacité a duré 65 jours ouvrables et sera indemnisée après un délai de carence d’un jour. La perte de gain pour la période considérée s’élève donc à fr. 9'021.44.</w:t>
      </w:r>
    </w:p>
    <w:p>
      <w:r>
        <w:t>g) L’article 333 al.3 CO stipule que l’ancien employeur et l’acquéreur répondent so- lidairement des créances du travailleur échues dès avant le transfert jusqu’au mo- ment où les rapports de travail pourraient normalement prendre fin ou ont pris fin par suite de l’opposition du travailleur.</w:t>
      </w:r>
    </w:p>
    <w:p>
      <w:r>
        <w:t>En l’espèce, le travailleur réclame le paiement de son salaire du 1er octobre au 15 décembre 2009. Or à cette période les rapports de travail étaient susceptibles d’avoir pris fin, de sorte que l’ancien employeur n’est pas tenu de répondre de cet- te créance en vertu de 333 al.3 CO.</w:t>
      </w:r>
    </w:p>
    <w:p>
      <w:r>
        <w:t>Cependant, selon la doctrine et la jurisprudence, l’article 51 CO s’applique par analogie au recours entre responsables contractuels qui ne sont pas liés par une clause de solidarité et n’ont pas commis de faute commune (CR CO – THEVE- NOZ, art. 99 N 23, ATF 115 II 41 consid. 1b, JdT 1989 I 531). Cette disposition prévoit que lorsque plusieurs répondent du même dommage en vertu de causes différentes (acte illicite, contrat, loi), les dispositions légales concernant le recours de ceux qui ont causé ensemble un dommage s’appliquent par analogie. Il s’agit de l’article 50 al.2 CO stipulant que le juge appréciera s’ils ont un droit de recours les uns contre les autres et déterminera, le cas échéant, l’étendue de ce recours. En cas de pluralité de responsables aquiliens, le partage interne se fait en fonction de la gravité des différentes fautes. S’il y a concours entre des responsabilités contractuelles, il en va de même, sauf si les responsables ont réglé la question des recours. Dans le cas où aucun des responsables contractuels n’a commis de faute au sens de l’article 41 CO, le partage se faite en principe à parts égales ; il se fait de la même manière en cas de participation d’un assureur et lorsque les obligations contractuelles de réparer sont de même nature (CR CO I – WERRO art.51 N 13).</w:t>
      </w:r>
    </w:p>
    <w:p>
      <w:r>
        <w:t>Dans le cas d’espèce, il est établi que les intimées ont violé des obligations dis- tinctes ayant causé le même dommage, à savoir la perte de gain du 1er octobre au 15 décembre 2009. S’agissant des rapports internes, il convient de répartir la res- ponsabilité entre les intimées à parts égales.</w:t>
      </w:r>
    </w:p>
    <w:p>
      <w:r>
        <w:t>Cour de Justice /section civile</w:t>
      </w:r>
    </w:p>
    <w:p>
      <w:r>
        <w:t>Cause n° C/6610/2010 - 1 - 13 -</w:t>
      </w:r>
    </w:p>
    <w:p>
      <w:r>
        <w:t>* Chambre des prud'hommes *</w:t>
      </w:r>
    </w:p>
    <w:p>
      <w:r>
        <w:t>h) La Cour de céans est amenée à examiner la question de savoir si l’ancien em- ployeur a porté une atteinte illicite à la personnalité de l’appelant, de telle sorte que ce dernier serait fondée à réclamer la somme de 9’761.- fr. à titre de domma- ges et intérêts.</w:t>
      </w:r>
    </w:p>
    <w:p>
      <w:r>
        <w:t>Aux termes de l’art. 328 al. 1 CO, l’employeur protège et respecte dans les rap- ports de travail la personnalité du travailleur. Cette disposition ne va pas au-delà de ce que prévoient les articles 27 et 28 CCS, mais elle concrétise la protection de la personne tout comme le font d’autres dispositions spéciales (FF 1967 II 353). Elle englobe notamment la vie et la santé du travailleur, son intégrité corporelle et intellectuelle, son honneur personnel et professionnel, sa position et la considéra- tion dont il jouit dans l’entreprise (ATF du 18 décembre 2001 en la cause 4C.253/2001 ; Rehbinder, Berner Kommentar, n. 4 ad art. 328 CO ; Rehbinder, Basler Kommentar, n. 3 ad art. 328 CO ; Rehbinder, Schweizerisches Arbeit- srecht, p. 83 ; Saillen, La protection de la personnalité du travailleur, thèse Lau- sanne 1981, p. 72 ss).</w:t>
      </w:r>
    </w:p>
    <w:p>
      <w:r>
        <w:t>L’application de l’art. 328 al. 1 CO suppose l’existence d’un contrat de travail, une atteinte illicite à la personnalité du travailleur, un dommage, une faute (pré- sumée) et un lien de causalité naturelle et adéquate entre l’atteinte illicite et le dommage.</w:t>
      </w:r>
    </w:p>
    <w:p>
      <w:r>
        <w:t>Le travailleur doit prouver l’atteinte à sa personnalité conformément à l’art. 8 CCS, quand bien même la procédure prud’homale est régie par la maxime d’office (ATF 108 II 337 = JdT 1983 p. 538).</w:t>
      </w:r>
    </w:p>
    <w:p>
      <w:r>
        <w:t>En l’occurrence, l’appelant subit une atteinte patrimoniale. Le patrimoine ne fai- sant pas partie des droits de la personnalité, les conditions d’application de l’article 328 CO ne sont pas réalisées. Par ailleurs, quand bien même, C______ aurait informé l’appelant des ses droits et obligations qui découlent de l’assurance lorsqu’il cesse d’appartenir au cercle des personnes assurées ou lorsque le contrat prend fin, ce dernier n’avait pas la possibilité de maintenir la couverture d’assurance, ni de découvrir qu’aucune autre assurance n’était prête à l’assurer.</w:t>
      </w:r>
    </w:p>
    <w:p>
      <w:r>
        <w:t>Le grief doit donc être rejeté.</w:t>
      </w:r>
    </w:p>
    <w:p>
      <w:r>
        <w:rPr>
          <w:b/>
        </w:rPr>
        <w:t>E. 6</w:t>
      </w:r>
    </w:p>
    <w:p>
      <w:r>
        <w:t>J______ excipe de la compensation dans l’hypothèse où elle serait condamnée au paiement de la réparation du dommage.</w:t>
      </w:r>
    </w:p>
    <w:p>
      <w:r>
        <w:t>Aux termes de l’article 120 CO, lorsque deux personnes sont débitrices l’une en- vers l’autre de sommes d’argent ou d’autres prestations de même espèce, chacune des parties peut compenser sa dette avec sa créance, si les deux dettes sont exigi- bles. L’exercice de la compensation suppose une déclaration, qu’il est possible d’exercer également en cours d’instance, selon des formes et jusqu’à un stade fixés par le droit cantonal (ATF 63 II 133 consid. 2 ; ENGEL, Traité des obliga- tions en droit suisse, 2ème éd., p.675). En l’occurrence, l’intimée ne dit pas quand</w:t>
      </w:r>
    </w:p>
    <w:p>
      <w:r>
        <w:t>Cour de Justice /section civile</w:t>
      </w:r>
    </w:p>
    <w:p>
      <w:r>
        <w:t>Cause n° C/6610/2010 - 1 - 14 -</w:t>
      </w:r>
    </w:p>
    <w:p>
      <w:r>
        <w:t>* Chambre des prud'hommes *</w:t>
      </w:r>
    </w:p>
    <w:p>
      <w:r>
        <w:t>ou comment il a invoqué la compensation devant les premiers juges. Or, en procé- dure genevoise, la possibilité de soulever une exception de compensation en appel est fort limitée (AUBERT, Quatre cents arrêts sur le contrat de travail, n° 440). En effet, l’article 312 let. a LPC prévoit que la Cour ne peut statuer sur aucun chef de demande qui n’a pas été soumis aux premiers juges, à moins qu’il ne s’agisse de compensation pour cause postérieure au jugement de première instance.</w:t>
      </w:r>
    </w:p>
    <w:p>
      <w:r>
        <w:t>En l’espèce, la créance que l’intimée entend compenser étant antérieure au juge- ment querellé, la cour n’entrera pas en matière sur ce point.</w:t>
      </w:r>
    </w:p>
    <w:p>
      <w:r>
        <w:rPr>
          <w:b/>
        </w:rPr>
        <w:t>E. 7</w:t>
      </w:r>
    </w:p>
    <w:p>
      <w:r>
        <w:t>Le travailleur réclame la somme de fr. 27'030.00 à titre d’indemnité pour résilia- tion abusive</w:t>
      </w:r>
    </w:p>
    <w:p>
      <w:r>
        <w:t>Conformément à l’article 336a CO, la partie qui résilie abusivement le contrat doit verser à l’autre une indemnité (al.1). L’indemnité est fixée par le juge, compte te- nu de toutes les circonstances ; toutefois, elle ne peut dépasser le montant corres- pondant à six mois de salaire du travailleur. Sont réservés les dommages-intérêts qui pourraient être dus à un autre titre (al.2).</w:t>
      </w:r>
    </w:p>
    <w:p>
      <w:r>
        <w:t>L’article 336 al.1 let. c CO qualifie d’abusif le congé donné par une partie dans le seul but d’empêcher la naissance de prétentions juridiques de l’autre partie, résul- tant du contrat de travail.</w:t>
      </w:r>
    </w:p>
    <w:p>
      <w:r>
        <w:t>En l’espèce, la Cour considère, à l’instar des premiers juges, que l’appelant ne pouvait prétendre à aucune prestation découlant du contrat de travail lors de la ré- siliation, J______ lui ayant versé l’intégralité de son salaire pendant quatre mois et demi, soit au-delà de ce que prévoit l’article 324a al.2 CO. De plus, J______ a ré- silié le contrat au motif qu’il ne pouvait pas assurer son employé alors qu’il en avait l’obligation en vertu de la CCNT. Ainsi, le congé n’est pas abusif.</w:t>
      </w:r>
    </w:p>
    <w:p>
      <w:r>
        <w:t>Le jugement sera donc confirmé sur ce point.</w:t>
      </w:r>
    </w:p>
    <w:p>
      <w:r>
        <w:rPr>
          <w:b/>
        </w:rPr>
        <w:t>E. 8</w:t>
      </w:r>
    </w:p>
    <w:p>
      <w:r>
        <w:t>La procédure prud’homale est gratuite. Toutefois l’article 78 aLJP prévoit que l’émolument peut être mis à charge de la partie qui succombe. J______ et C______ qui succombent en grande partie seront condamnées solidairement à payer l’émolument d’appel de fr. 440.00.</w:t>
      </w:r>
    </w:p>
    <w:p>
      <w:r>
        <w:t>Cour de Justice /section civile</w:t>
      </w:r>
    </w:p>
    <w:p>
      <w:r>
        <w:t>Cause n° C/6610/2010 - 1 - 15 -</w:t>
      </w:r>
    </w:p>
    <w:p>
      <w:r>
        <w:t>* Chambre des prud'hommes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