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CAPH/191/2015 vom 25. November 2015</w:t>
      </w:r>
    </w:p>
    <w:p>
      <w:r>
        <w:t>GE Cour de justice, 2015-11-25, FR</w:t>
      </w:r>
    </w:p>
    <w:p>
      <w:r>
        <w:rPr>
          <w:b/>
        </w:rPr>
        <w:t xml:space="preserve">Quelle: </w:t>
      </w:r>
      <w:r>
        <w:t>https://mcp.opencaselaw.ch/entscheid/ge_gerichte_CAPH_191_2015</w:t>
      </w:r>
    </w:p>
    <w:p>
      <w:r>
        <w:t>FR: GE_GERICHTE CAPH/191/2015 du 25 novembre 2015</w:t>
      </w:r>
    </w:p>
    <w:p>
      <w:r>
        <w:t>IT: GE_GERICHTE CAPH/191/2015 del 25 novembre 2015</w:t>
      </w:r>
    </w:p>
    <w:p>
      <w:pPr>
        <w:pStyle w:val="Heading2"/>
      </w:pPr>
      <w:r>
        <w:t>Erwägungen</w:t>
      </w:r>
    </w:p>
    <w:p>
      <w:r>
        <w:rPr>
          <w:b/>
        </w:rPr>
        <w:t>E. 1.1</w:t>
      </w:r>
    </w:p>
    <w:p>
      <w:r>
        <w:t>L'appel est recevable contre les décisions finales et incidentes de première instance lorsque dans les affaire patrimoniales la valeur litigieuse au dernier état des conclusions est de 10'000 fr. au moins (art. 308 CPC). Il peut être formé pour violation du droit et constatation inexactes des faits (art. 310 CPC). Ecrit et motivé, l'appel doit être introduit auprès de l'instance d'appel dans les 30 jours à compter de la notification de la décision motivée (art. 311 al. 1 CPC). La notification intervient au moment de la remise de l'envoi recommandé au destinataire (art. 338 al. 1 et 2 CPC), le délai d'appel déclenché par la notification commence à courir dès le lendemain de celle-ci (art. 142 al. 1 CPC). En matière de contrat de travail, la Chambre des Prud'hommes de la Cour de justice est l'instance d'appel compétente à Genève pour connaître un appel dirigé contre un jugement du Tribunal des Prud'hommes (art. 124 let. a LOJ, E 2 05).</w:t>
      </w:r>
    </w:p>
    <w:p>
      <w:r>
        <w:rPr>
          <w:b/>
        </w:rPr>
        <w:t>E. 1.2</w:t>
      </w:r>
    </w:p>
    <w:p>
      <w:r>
        <w:t>En l'espèce, la voie de l'appel est ouverte puisque la valeur litigieuse au dernier état des conclusions, soit en fin de première instance, était supérieure à 10'000 fr. Introduit selon la forme prescrite par la loi et en temps utile auprès de l'instance compétente l'appel est dès lors recevable.</w:t>
      </w:r>
    </w:p>
    <w:p>
      <w:r>
        <w:rPr>
          <w:b/>
        </w:rPr>
        <w:t>E. 1.3</w:t>
      </w:r>
    </w:p>
    <w:p>
      <w:r>
        <w:t>La Cour dispose d'un plein pouvoir de cognition (art. 310 CPC).</w:t>
      </w:r>
    </w:p>
    <w:p>
      <w:r>
        <w:rPr>
          <w:b/>
        </w:rPr>
        <w:t>E. 2.1</w:t>
      </w:r>
    </w:p>
    <w:p>
      <w:r>
        <w:t>L'appelante produit quatre pièces nouvelles en appel. L'intimé conclut à leur irrecevabilité. La Cour examine en principe d'office la recevabilité des pièces produites en appel (REETZ/HILBER, Kommentar zum Schweizerischen Zivilprozessordnung, 2ème édition,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toutes les pièces produites par l'appelante devant la Cour sont antérieures au terme de la procédure de première instance et partant de ce fait en principe irrecevables. Tel est le cas notamment de la pièce 3 qui, bien que datée</w:t>
      </w:r>
    </w:p>
    <w:p>
      <w:r>
        <w:t>- 10/15 -</w:t>
      </w:r>
    </w:p>
    <w:p>
      <w:r>
        <w:t>C/26265/2012-4 du 11 mai 2015, se réfère en quasi intégralité aux résultats des années 2011-2012 de la société.</w:t>
      </w:r>
    </w:p>
    <w:p>
      <w:r>
        <w:rPr>
          <w:b/>
        </w:rPr>
        <w:t>E. 3</w:t>
      </w:r>
    </w:p>
    <w:p>
      <w:r>
        <w:t>Le Tribunal a retenu à charge de l'appelante un refus non justifié de collaboration à la procédure. Point n'est besoin d'examiner ce grief au vu de ce qui sera développé ci-dessous.</w:t>
      </w:r>
    </w:p>
    <w:p>
      <w:r>
        <w:rPr>
          <w:b/>
        </w:rPr>
        <w:t>E. 4.1</w:t>
      </w:r>
    </w:p>
    <w:p>
      <w:r>
        <w:t>Selon l'art. 335 al. 1 CO, le contrat de durée indéterminé peut être résilié par chacune des parties. L'alinéa 2 de cette disposition stipule que la partie qui donne le congé doit motiver sa décision par écrit si l'autre partie le demande. Conformément aux règles de la bonne foi, une partie ne peut pas donner le congé de manière abusive. Selon l'art 336 CO, le congé est abusif s'il est donné pour des motifs qui ne sont pas dignes de protection. La liste dressée à l'art. 336 CO n'est pas exhaustive. (TERCIER/FAVRE, Les contrats spéciaux, 4ème édition, 2009, n° 3688 ss, p. 549 ss; VISCHER/MÜLLER, Schweizerisches Privatrecht, VII/4, Der Arbeitsvertrag, 4ème éd. 2014, n° 71 ss, p. 320 ss; PORTMANN, Basler Kommentar, Obligationenrecht I 5ème éd. 2011, n° 1 ss, p. 20, 67 ss). S'agissant de la reconnaissance d'autres motifs abusifs que ceux prévus par la loi le juge devra faire preuve de retenue (VISCHER/MÜLLER, op. cit. n° 72, p. 320-321). La partie qui a vu son contrat résilié doit prouver que le motif du congé est abusif (idem, n° 101, page 320), respectivement qu'il existe une haute vraisemblance que le motif du congé soit abusif (PORTMANN, op. cit. n° 31, p. 20, 78). Un motif économique constitue un intérêt digne de protection qui exclut généralement de considérer que le congé est abusif. Pour être digne de protection, un motif économique doit dépendre d'une certaine gêne de l'employeur, ce qui exclut la seule volonté d'augmenter les profits. En principe la mauvaise marche des affaires, le manque de travail ou les impératifs stratégiques commerciaux constituent des motifs économiques admissibles (DUNAND, Commentaire du droit du travail, 2013, n° 90, ad art. 336 CO, p. 685). En vertu de l'art. 336a CO, le caractère abusif de la résiliation n'affecte pas sa validité (ATF 118 II 157, JDT 1993 I 648). Le destinataire d'un congé abusif a en principe droit à une indemnité dont le montant sera fixé par le juge mais correspondant au plus à six mois de salaire. Il s'agit d'une indemnité sui generis, d'une sanction de droit civil qui a une fonction pénalisante et de réparation (TERCIER/FAVRE, op. cit. n° 3708 ss, p. 552).</w:t>
      </w:r>
    </w:p>
    <w:p>
      <w:r>
        <w:rPr>
          <w:b/>
        </w:rPr>
        <w:t>E. 4.2</w:t>
      </w:r>
    </w:p>
    <w:p>
      <w:r>
        <w:t>L'appelante fait reproche au Tribunal d'avoir retenu l'existence d'un congé abusif quand bien même il admet que le demandeur n'a pas présenté les résultats financiers escomptés pendant les rapports de travail. Elle expose qu'en retenant que l'employeur est responsable de cet état de choses du fait qu'il n'avait pas obtenu les autorisations d'exercer auprès de la FINMA et qu'elle ne pouvait pas dès lors reprocher à l'employé son manque de performance, il a violé la loi. Elle expose en outre que les échanges avec la FINMA et l'absence d'autorisation de la</w:t>
      </w:r>
    </w:p>
    <w:p>
      <w:r>
        <w:t>- 11/15 -</w:t>
      </w:r>
    </w:p>
    <w:p>
      <w:r>
        <w:t>C/26265/2012-4 société d'exercer en tant que succursale d'un négociant en valeur mobilière étranger n'ont jamais affecté l'activité effective du travailleur. Quant à celui-ci il soutient dans sa réponse à l'appel que les motifs du congé ne sont pas réels, l'appelante étant l'unique responsable de la situation créée et notamment de l'absence d'autorisation pour développer ses activités avec la menace de sanction pénale à la clé.</w:t>
      </w:r>
    </w:p>
    <w:p>
      <w:r>
        <w:rPr>
          <w:b/>
        </w:rPr>
        <w:t>E. 4.3</w:t>
      </w:r>
    </w:p>
    <w:p>
      <w:r>
        <w:t>Il ressort de la procédure, ce qui n'est pas contesté, que les résultats financiers produits par le travailleur n'ont pas été à la hauteur de ce qui avait été escompté et proposé par lui-même dans le cadre du business plan qu'il a présenté le</w:t>
      </w:r>
    </w:p>
    <w:p>
      <w:r>
        <w:rPr>
          <w:b/>
        </w:rPr>
        <w:t>E. 5</w:t>
      </w:r>
    </w:p>
    <w:p>
      <w:r>
        <w:t>novembre 2010. Il n'est pas contestable non plus que ces résultats financiers ne se sont pas améliorés avec le changement de statut au 1er janvier 2012 de la société, filiale de la société mère française. Il ressort également du dossier que les coûts engendrés par la société n'étaient pas couverts par le chiffre d'affaires réalisé. Il n'apparaît pas des pièces au dossier que le travailleur se soit plaint avant les échanges de mails de fin novembre 2011 que l'absence d'autorisation d'exercer certaines activités en Suisse de la part de la FINMA aurait eu une influence sur sa capacité à développer la clientèle dans le cadre de son activité d'intermédiation pure non soumise à autorisation par ailleurs durant l'année précédente. Cet état de fait apparaît par ailleurs confirmé par les déclarations du témoin G______, entendu par le Tribunal qui, arrivé au sein de la société en même temps que le travailleur, a toujours pu mener librement ses opérations. Il en est de même des déclarations du témoin H______ entendu par le Tribunal selon qui il n'avait jamais été entravé dans sa capacité à travailler au sein de la société dès son engagement en 2010. Les deux témoins entendus par le Tribunal ont par ailleurs exposés de concert que le travailleur n'avait pas été surpris par son licenciement et qu'il s'y attendait du fait que le chiffre d'affaires réalisé par lui ne semblait pas être à la hauteur des attentes. En outre, le dossier enseigne encore que postérieurement à l'échange de mails relatifs à la problématique liée à l'autorisation éventuellement nécessaire de la FINMA et à la structure juridique de la société, cette question n'a plus été l'objet de discussions entre les parties qui, au contraire, se sont attelées à mettre sur pied le nouveau contrat de travail du travailleur devant entrer en vigueur au 1er janvier 2012. Il n'est fait état dans ce contrat d'aucune réticence du travailleur quant à la nouvelle structure et la capacité de celle-ci à donner un cadre juridique clair à l'activité exercée. Ce n'est qu'après le laps de temps de trois mois et demi depuis la mise en œuvre de la nouvelle structure de la société et des nouvelles conditions du travailleur et sans amélioration pour autant des résultats quant au chiffre d'affaires de la société, au contraire celui-ci ayant chuté durant les trois premiers mois de l'année 2012, que le licenciement est intervenu au motif que le résultat obtenu ne couvrait pas les charges d'exploitation. Dès lors la preuve. qui incombait au travailleur, du caractère abusif du congé n'a pas été apportée ni même le caractère vraisemblable de cet abus dans la mesure où, au contraire et au vu des considérants qui précèdent, il a été démontré que les</w:t>
      </w:r>
    </w:p>
    <w:p>
      <w:r>
        <w:t>- 12/15 -</w:t>
      </w:r>
    </w:p>
    <w:p>
      <w:r>
        <w:t>C/26265/2012-4 motifs à l'appui du licenciement tels qu'ils ressortent de la lettre du licenciement du 12 avril 2012 sont avérés. Par conséquent, le congé étant valable et non abusif, il n'a pas lieu à indemnité. L'appel est admis sur ce point et le jugement attaqué annulé.</w:t>
      </w:r>
    </w:p>
    <w:p>
      <w:r>
        <w:rPr>
          <w:b/>
        </w:rPr>
        <w:t>E. 5.1</w:t>
      </w:r>
    </w:p>
    <w:p>
      <w:r>
        <w:t>Selon l'art. 330a CO, l'employé peut demander en tout temps à l'employeur un certificat portant sur la nature et la durée des rapports de travail ainsi que sur la qualité de son travail et sa conduite (al. 1). A la demande exprès du travailleur, le certificat ne porte que sur la nature et la durée des rapports de travail (al. 2). Dans le premier cas on parle de certificat de travail complet ou qualifié (ATF 136 III 510 consid. 4.1). Dans le second cas, il ne s'agit que d'une attestation de travail (ATF 129 III 177 consid. 3.2 et 3.3).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(arrêt du Tribunal fédéral 4A_270/2014 du 18 septembre 2014 consid. 3.2). L'action relative au certificat de travail (délivrance ou rectification) doit être formulée clairement et contenir des conclusions précises. Si le travailleur demande la rectification du contenu du certificat de travail, il doit formuler lui- même le texte requis de manière à ce que le Tribunal puisse le reprendre sans modification dans son jugement. Le travailleur ne peut pas se borner à conclure à ce que l'employeur lui délivre un certificat de travail, par exemple, dont le contenu est conforme à la vérité (arrêt du Tribunal fédéral 4A_270/2014 cité consid. 3.2.2 in fine).</w:t>
      </w:r>
    </w:p>
    <w:p>
      <w:r>
        <w:rPr>
          <w:b/>
        </w:rPr>
        <w:t>E. 5.2</w:t>
      </w:r>
    </w:p>
    <w:p>
      <w:r>
        <w:t>Dans le cas d'espèce et à l'aune de ces rappels, la conclusion n° 8 en établissement d'un certificat "conforme à la vérité" prise par le demandeur était irrecevable d'emblée. Par conséquent le jugement du Tribunal sera annulé sur ce point également. En définitive, l'appel sera admis et le jugement annulé en totalité.</w:t>
      </w:r>
    </w:p>
    <w:p>
      <w:r>
        <w:rPr>
          <w:b/>
        </w:rPr>
        <w:t>E. 6</w:t>
      </w:r>
    </w:p>
    <w:p>
      <w:r>
        <w:t>Au vu de la valeur litigieuse au dernier état des conclusions, un émolument de 1'000 fr. est arrêté, entièrement compensé par l'avance de frais versée par A______ SA. B______ sera condamné à payer ce montant à l'appelante qui en a fait l'avance.</w:t>
      </w:r>
    </w:p>
    <w:p>
      <w:r>
        <w:t>- 13/15 -</w:t>
      </w:r>
    </w:p>
    <w:p>
      <w:r>
        <w:t>C/26265/2012-4 Les frais de première instance non contestés en 1'690 fr. seront mis également à sa charge dans la mesure où il succombe en totalité. Il n'est pas alloué de dépens (art. 22 al. 2 LaCC). * * * * *</w:t>
      </w:r>
    </w:p>
    <w:p>
      <w:r>
        <w:t>- 14/15 -</w:t>
      </w:r>
    </w:p>
    <w:p>
      <w:r>
        <w:t>C/26265/2012-4 PAR CES MOTIFS, La Chambre des prud'hommes, groupe 4 : A la forme : Déclare recevable l'appel déposé par A______ SA contre le jugement JTPH/139/2015 rendu le 9 avril 2015 par le Tribunal des prud'hommes. Au fond : L'admet et annule le jugement attaqué. Condamne B______ en tous les frais de première instance qui se montent à 1'690 fr., entièrement compensés par l'avance de frais effectuée. Déboute les parties de toutes autres conclusions. Sur les frais d'appel : Met les frais d'appel arrêtés à 1'000 fr. à charge de B______ et les compense entièrement avec l'avance de frais effectuée par A______ SA de même montant. Condamne B______ à payer à A______ SA la somme de 1'000 fr. en remboursement de ses frais. Dit qu'il n'est pas alloué de dépens. Siégeant : Monsieur Cédric-Laurent MICHEL, président; Monsieur Olivier GROMETTO, juge employeur, Monsieur Yves DELALOYE, juge salarié; Madame Véronique BULUNDWE-LÉVY, greffière.</w:t>
      </w:r>
    </w:p>
    <w:p>
      <w:r>
        <w:t>Le président : Cédric-Laurent MICHEL</w:t>
      </w:r>
    </w:p>
    <w:p>
      <w:r>
        <w:t>La greffière : Véronique BULUNDWE-LÉVY</w:t>
      </w:r>
    </w:p>
    <w:p>
      <w:r>
        <w:t>- 15/15 -</w:t>
      </w:r>
    </w:p>
    <w:p>
      <w:r>
        <w:t>C/26265/2012-4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