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CAPH/190/2014 vom 22. April 2014</w:t>
      </w:r>
    </w:p>
    <w:p>
      <w:r>
        <w:t>GE Cour de justice, 2014-04-22, FR</w:t>
      </w:r>
    </w:p>
    <w:p>
      <w:r>
        <w:rPr>
          <w:b/>
        </w:rPr>
        <w:t xml:space="preserve">Quelle: </w:t>
      </w:r>
      <w:r>
        <w:t>https://mcp.opencaselaw.ch/entscheid/ge_gerichte_CAPH_190_2014</w:t>
      </w:r>
    </w:p>
    <w:p>
      <w:r>
        <w:t>FR: GE_GERICHTE CAPH/190/2014 du 22 avril 2014</w:t>
      </w:r>
    </w:p>
    <w:p>
      <w:r>
        <w:t>IT: GE_GERICHTE CAPH/190/2014 del 22 aprile 2014</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il respecte au surplus la forme prescrite (art. 130, 131 et 311 CPC). L'appel est ainsi recevable.</w:t>
      </w:r>
    </w:p>
    <w:p>
      <w:r>
        <w:rPr>
          <w:b/>
        </w:rPr>
        <w:t>E. 1.2</w:t>
      </w:r>
    </w:p>
    <w:p>
      <w:r>
        <w:t>L'instance d'appel revoit la cause en fait et en droit avec un plein pouvoir d'examen (art. 310 CPC).</w:t>
      </w:r>
    </w:p>
    <w:p>
      <w:r>
        <w:rPr>
          <w:b/>
        </w:rPr>
        <w:t>E. 2</w:t>
      </w:r>
    </w:p>
    <w:p>
      <w:r>
        <w:t>L'appelante reproche au Tribunal d'avoir considéré que le licenciement immédiat notifié à l'intimé était injustifié.</w:t>
      </w:r>
    </w:p>
    <w:p>
      <w:r>
        <w:rPr>
          <w:b/>
        </w:rPr>
        <w:t>E. 2.1</w:t>
      </w:r>
    </w:p>
    <w:p>
      <w:r>
        <w:t>L'employeur et le travailleur peuvent résilier immédiatement le contrat de travail en tout temps pour de justes motifs (art. 337 al. 1 CO). Selon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il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La gravité requise peut ne pas résulter que d'un acte isolé, mais de la réitération de manquements (WYLER, Droit du travail, 2014, p. 572). En tant que telle, une absence de courte durée ne constitue pas un motif de renvoi immédiat (cf. AUBERT, Commentaire romand, CO I, 2012, n. 5 ad art. 337 CO). Pour constituer un juste motif de licenciement, le refus de travailler ou les</w:t>
      </w:r>
    </w:p>
    <w:p>
      <w:r>
        <w:t>- 8/11 -</w:t>
      </w:r>
    </w:p>
    <w:p>
      <w:r>
        <w:t>C/3120/2012-2 absences injustifiées doivent être persistants et précédés d'avertissements contenant la menace claire d'un renvoi immédiat (ATF 108 II 301 consid. 3b; ATF 127 III 153 consid. 1b, arrêt du Tribunal fédéral 4C.294/2005 du 21 décembre 2005 consid. 3). De manière générale, la violation persistante et délibérée des instructions de l'employeur, le refus d'obtempérer et le manque de respect envers son supérieur peuvent, après avertissement, justifier une résiliation immédiate (arrêt du Tribunal fédéral 4C.119/2006 du 29 août 2006 consid. 3; WYLER, op. cit., p. 581). Lorsqu'un employé porte sérieusement atteinte aux droits de la personnalité de l'un de ses collègues, un licenciement immédiat peut être prononcé (WYLER, op. cit., p. 576).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(WYLER, op. cit., p. 572 ; SCHNEIDER, La résiliation immédiate du contrat de travail : les justes motifs, in Journée 1993 du droit du travail et de la sécurité sociale, p. 56 et 57).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2.2</w:t>
      </w:r>
    </w:p>
    <w:p>
      <w:r>
        <w:t>En l'espèce, il ressort de l'instruction de la cause que l'intimé ne s'est pas présenté à son poste de travail durant quelques jours en juillet 2011, ainsi qu'au mois d'août 2011. Ces absences n'ont pas été justifiées, y compris celle du 11 juillet 2011. En effet, l'intimé ne pouvait pas considérer être en droit de prolonger ses vacances, alors qu'il n'avait reçu aucune réponse de son employeur à sa demande de prolongation prétendument mal adressée. Il résulte également des enquêtes que l'intimé n'a pas effectué en totalité ses heures de travail le 14 juillet 2011, en quittant son poste de travail 45 minutes trop tôt. Toutefois, lesdits manquements ne peuvent pas être qualifiés de particulièrement graves, les absences ayant été de courte durée, non consécutives et s'étant produites sur une brève période de moins de deux mois. Le critère de gravité particulière permettant de justifier un licenciement avec effet immédiat ne saurait pas non plus être retenu s'agissant de la non-remise des rapports d'activité, dans la mesure où</w:t>
      </w:r>
    </w:p>
    <w:p>
      <w:r>
        <w:t>- 9/11 -</w:t>
      </w:r>
    </w:p>
    <w:p>
      <w:r>
        <w:t>C/3120/2012-2 l'avertissement du 18 juillet 2011 ne faisait référence qu'à un seul manquement, le 12 juillet 2011. L'appelante n'a pour le surplus pas démontré que l'intimé ne participait pas aux réunions hebdomadaires. Enfin, celle-ci a également reproché à l'intimé son comportement agressif, qui ne résulte toutefois que d'une seule altercation ayant eu lieu au mois d'avril 2011. Lesdits manquements n'apparaissent par conséquent pas d'une gravité suffisante pour justifier le licenciement avec effet immédiat notifié le 24 août 2011. C'est ainsi à bon droit que le premier juge a considéré que ces manquements n'étant pas particulièrement graves, un avertissement préalable devait précéder le licenciement immédiat. Or, l'avertissement du 18 juillet 2011 adressé à l'intimé ne comportait aucune mise en demeure de se conformer à ses obligations et il n'était assorti d'aucune menace explicite de licenciement en cas de répétition des manquements constatés. Or, le comportement et les déclarations des personnes qui s'expriment pour l'employeur doivent être interprétés selon le sens que l'employé pouvait et devait leur attribuer de bonne foi conformément au principe de la confiance (arrêt du Tribunal fédéral 4C.294/2005 du 21 décembre 2005 consid. 3 et la référence citée). L'intimé ne pouvait pas comprendre, à la lecture du courrier du 18 juillet 2011, qu'en cas de récidive, il allait être licencié de manière immédiate. C'est ainsi à bon droit que le premier juge a retenu que cet avertissement n'était pas suffisant pour justifier une telle mesure, étant relevé que l'avertissement daté du 23 août 2011 a été adressé à l'intimé la veille de son licenciement immédiat et qu'il ne lui accordait, dès lors, aucun délai pour remédier à son comportement. Au vu de ce qui précède, la résiliation avec effet immédiat du contrat de travail de l'intimé n'était pas justifiée, de sorte que les chiffres 3 et 4 de la décision entreprise seront confirmés.</w:t>
      </w:r>
    </w:p>
    <w:p>
      <w:r>
        <w:rPr>
          <w:b/>
        </w:rPr>
        <w:t>E. 3</w:t>
      </w:r>
    </w:p>
    <w:p>
      <w:r>
        <w:t>L'appelante reproche au Tribunal d'avoir considéré que l'intimé n'avait pas violé ses obligations contractuelles.</w:t>
      </w:r>
    </w:p>
    <w:p>
      <w:r>
        <w:rPr>
          <w:b/>
        </w:rPr>
        <w:t>E. 3.1</w:t>
      </w:r>
    </w:p>
    <w:p>
      <w:r>
        <w:t>Le travailleur exécute avec soin le travail qui lui est confié et sauvegarde fidèlement les intérêts légitimes de l'employeur (art. 321 a al. 1 CO). Il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w:t>
      </w:r>
    </w:p>
    <w:p>
      <w:r>
        <w:t>- 10/11 -</w:t>
      </w:r>
    </w:p>
    <w:p>
      <w:r>
        <w:t>C/3120/2012-2 Pour que la responsabilité contractuelle du travailleur soit engagée, il faut ainsi que l'employeur ait subi un dommage, que l'employé ait violé ses obligations contractuelles, qu'il existe un lien de causalité naturelle et adéquate entre cette violation et le dommage causé à son employeur et, enfin, que l'employé ait commis une faute. Il appartient à l'employeur de prouver ces éléments (ATF 97 II 142), à l'exception de la notion de faute qui n'est pas différente de celle de l'art. 97 al. 1 CO.</w:t>
      </w:r>
    </w:p>
    <w:p>
      <w:r>
        <w:rPr>
          <w:b/>
        </w:rPr>
        <w:t>E. 3.2</w:t>
      </w:r>
    </w:p>
    <w:p>
      <w:r>
        <w:t>En l'espèce, il est établi que l'intimé ne traitait pas, de manière générale, avec des clients obérés ou mauvais payeurs, seule la société E______ ne s'étant pas acquittée de la totalité de sa facture. L'appelante n'a toutefois pas démontré avoir donné pour instruction à l'intimé de ne pas livrer de marchandise à cette société. Il résulte au contraire de l'attitude adoptée par l'appelante, qui a déclaré être intervenue auprès de son employé pour réduire l'importance de la commande de E______, qu'elle consentait à traiter avec cette cliente. C'est ainsi à bon droit que le Tribunal a considéré que l'intimé n'avait pas violé ses obligations contractuelles en acceptant la commande de la société E______. La décision sera ainsi confirmée sur ce point également.</w:t>
      </w:r>
    </w:p>
    <w:p>
      <w:r>
        <w:rPr>
          <w:b/>
        </w:rPr>
        <w:t>E. 4</w:t>
      </w:r>
    </w:p>
    <w:p>
      <w:r>
        <w:t>La procédure est gratuite, la valeur litigieuse de 50'000 fr. n'étant pas atteinte (art. 116 al. 1 CPC et 19 al. 3 LaCC). Il n'est pas alloué de dépens (art. 22 al. 2 LaCC). * * * * *</w:t>
      </w:r>
    </w:p>
    <w:p>
      <w:r>
        <w:t>- 11/11 -</w:t>
      </w:r>
    </w:p>
    <w:p>
      <w:r>
        <w:t>C/3120/2012-2 PAR CES MOTIFS, La Chambre des prud'hommes : A la forme : Déclare recevable l'appel interjeté par A______ contre les chiffres 3, 4 et 7 de la décision JTPH/157/2014 rendue le 22 avril 2014 par le Tribunal des prud'hommes dans la cause C/3120/2012-2. Au fond : Le rejette et confirme la décision attaquée. Dit que la procédure est gratuite. Dit qu'il n'est pas alloué de dépens. Déboute les parties de toutes autres conclusions. Siégeant : Madame Paola CAMPOMAGNANI, présidente; Monsieur Vincent CANONICA, juge employeur, Monsieur Kasum VELII,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