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CAPH/182/2015 vom 5. November 2015</w:t>
      </w:r>
    </w:p>
    <w:p>
      <w:r>
        <w:t>GE Cour de justice, 2015-11-05, FR</w:t>
      </w:r>
    </w:p>
    <w:p>
      <w:r>
        <w:rPr>
          <w:b/>
        </w:rPr>
        <w:t xml:space="preserve">Quelle: </w:t>
      </w:r>
      <w:r>
        <w:t>https://mcp.opencaselaw.ch/entscheid/ge_gerichte_CAPH_182_2015</w:t>
      </w:r>
    </w:p>
    <w:p>
      <w:r>
        <w:t>FR: GE_GERICHTE CAPH/182/2015 du 5 novembre 2015</w:t>
      </w:r>
    </w:p>
    <w:p>
      <w:r>
        <w:t>IT: GE_GERICHTE CAPH/182/2015 del 5 novembre 2015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Il n'est pas perçu de frais (art. 71 RTFMC), ni alloué de dépens (art. 22 al. 2 LaCC). * * * * *</w:t>
      </w:r>
    </w:p>
    <w:p>
      <w:r>
        <w:t>- 11/11 -</w:t>
      </w:r>
    </w:p>
    <w:p>
      <w:r>
        <w:t>C/17624/2012-4 PAR CES MOTIFS, La Chambre des prud'hommes, groupe 4 : A la forme : Déclare recevable l'appel formé par A______ contre le jugement rendu le 11 mai 2015 par le Tribunal des prud'hommes. Au fond : Annule ce jugement. Cela fait, statuant à nouveau : Déboute B______ de toutes ses conclusions. Déboute les parties de toutes autres conclusions. Siégeant : Madame Sylvie DROIN, présidente; Monsieur Michel BOHNENBLUST, juge employeur, Madame Christine PFUND, juge salariée; Madame Véronique BULUNDWE-LÉVY, greffière.</w:t>
      </w:r>
    </w:p>
    <w:p>
      <w:r>
        <w:t>La présidente : Sylvie DROIN</w:t>
      </w:r>
    </w:p>
    <w:p>
      <w:r>
        <w:t>La greffière : Véronique BULUNDWE-LÉVY</w:t>
      </w:r>
    </w:p>
    <w:p>
      <w:r>
        <w:t>Indication des voies de recours et valeur litigieuse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15'000.-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