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CAPH/181/2020 vom 16. Oktober 2020</w:t>
      </w:r>
    </w:p>
    <w:p>
      <w:r>
        <w:t>GE Cour de justice, 2020-10-16, FR</w:t>
      </w:r>
    </w:p>
    <w:p>
      <w:r>
        <w:rPr>
          <w:b/>
        </w:rPr>
        <w:t xml:space="preserve">Quelle: </w:t>
      </w:r>
      <w:r>
        <w:t>https://mcp.opencaselaw.ch/entscheid/ge_gerichte_CAPH_181_2020</w:t>
      </w:r>
    </w:p>
    <w:p>
      <w:r>
        <w:t>FR: GE_GERICHTE CAPH/181/2020 du 16 octobre 2020</w:t>
      </w:r>
    </w:p>
    <w:p>
      <w:r>
        <w:t>IT: GE_GERICHTE CAPH/181/2020 del 16 ottobre 2020</w:t>
      </w:r>
    </w:p>
    <w:p>
      <w:pPr>
        <w:pStyle w:val="Heading2"/>
      </w:pPr>
      <w:r>
        <w:t>Erwägungen</w:t>
      </w:r>
    </w:p>
    <w:p>
      <w:r>
        <w:rPr>
          <w:b/>
        </w:rPr>
        <w:t>E. 1.1</w:t>
      </w:r>
    </w:p>
    <w:p>
      <w:r>
        <w:t>L'appel est recevable contre les décisions finales de première instance lorsque la valeur litigieuse au dernier état des conclusions est de 10'000 fr. au moins (art. 308 al. 1 let. a et al. 2 CPC), ce qui est le cas en l'espèce, de sorte que la voie de l'appel est ouverte.</w:t>
      </w:r>
    </w:p>
    <w:p>
      <w:r>
        <w:rPr>
          <w:b/>
        </w:rPr>
        <w:t>E. 1.2</w:t>
      </w:r>
    </w:p>
    <w:p>
      <w:r>
        <w:t>L'appel a été déposé dans le délai de 30 jours (art. 311 al. 1 et 142 al. 3 CPC) et selon la forme prescrite par la loi (art. 130 al. 1, 131 et 311 CPC), par une partie qui y a intérêt (art. 59 al. 2 let. a CPC) et auprès de l'autorité compétente (art. 124 let. a LOJ). Il est donc recevable.</w:t>
      </w:r>
    </w:p>
    <w:p>
      <w:r>
        <w:rPr>
          <w:b/>
        </w:rPr>
        <w:t>E. 1.3</w:t>
      </w:r>
    </w:p>
    <w:p>
      <w:r>
        <w:t>Les maximes des débats (art. 55 al. 1 et 247 al. 2 let. b ch. 2 CPC) et de disposition (art. 58 al. 1 CPC) sont applicables à la présente cause, laquelle est régie par la procédure ordinaire (art. 243 al. 1 et 2 CPC a contrario).</w:t>
      </w:r>
    </w:p>
    <w:p>
      <w:r>
        <w:rPr>
          <w:b/>
        </w:rPr>
        <w:t>E. 2</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L'appelant se plaint d'une constatation incomplète et inexacte des faits et requiert la modification ou le complément de certains faits retenus dans le jugement entrepris. Il considère par ailleurs que le Tribunal a fait une mauvaise appréciation des preuves.</w:t>
      </w:r>
    </w:p>
    <w:p>
      <w:r>
        <w:t>La Cour ayant complété dans la partie EN FAIT du présent arrêt les faits de la cause, notamment en reproduisant les témoignages recueillis par le Tribunal, elle statuera sur un état de faits complété. Autre est la question de l'appréciation des auditions, témoignages et pièces produites qui sera examinée ci-après à la lumière des griefs formés par l'appelant.</w:t>
      </w:r>
    </w:p>
    <w:p>
      <w:r>
        <w:rPr>
          <w:b/>
        </w:rPr>
        <w:t>E. 4</w:t>
      </w:r>
    </w:p>
    <w:p>
      <w:r>
        <w:t>L'appelant fait grief aux premiers juges de ne pas avoir retenu l’existence d’un contrat de travail entre les parties.</w:t>
      </w:r>
    </w:p>
    <w:p>
      <w:r>
        <w:rPr>
          <w:b/>
        </w:rPr>
        <w:t>E. 4.1</w:t>
      </w:r>
    </w:p>
    <w:p>
      <w:r>
        <w:t>Le Tribunal examine d'office si les conditions de recevabilité sont remplies (art. 60 CPC). Il n'entre en matière que sur les demandes et les requêtes qui satisfont aux conditions de recevabilité de l'action (art. 59 al. 1 CPC). Parmi celles-ci figure la compétence matérielle du tribunal saisi (art. 59 al. 2 let. b CPC).</w:t>
      </w:r>
    </w:p>
    <w:p>
      <w:r>
        <w:rPr>
          <w:b/>
        </w:rPr>
        <w:t>E. 4.1.1</w:t>
      </w:r>
    </w:p>
    <w:p>
      <w:r>
        <w:t>Le droit cantonal détermine la compétence matérielle et fonctionnelle des tribunaux, sauf disposition contraire de la loi (art. 4 al. 1 CPC).</w:t>
      </w:r>
    </w:p>
    <w:p>
      <w:r>
        <w:t>- 13/21 -</w:t>
      </w:r>
    </w:p>
    <w:p>
      <w:r>
        <w:t>C/8988/2015-3 Dans le canton de Genève, les litiges découlant d'un contrat de travail, au sens du titre dixième du code des obligations, sont jugés par le Tribunal des prud'hommes (art. 1 al. 1 de la loi sur le Tribunal des prud'hommes du 11 février 2010 (E 3 10; ci-après : LTPH). Ce Tribunal est notamment compétent pour statuer sur les mesures provisionnelles (art. 15 al. 1 LTPH). Le Tribunal de première instance est compétent pour tous les actes de la juridiction civile contentieuse et non contentieuse que la loi n'attribue pas à une autre autorité judiciaire ou administrative (art. 86 al. 1 LOJ).</w:t>
      </w:r>
    </w:p>
    <w:p>
      <w:r>
        <w:rPr>
          <w:b/>
        </w:rPr>
        <w:t>E. 4.1.2</w:t>
      </w:r>
    </w:p>
    <w:p>
      <w:r>
        <w:t>Lorsqu'il doit statuer d'entrée de cause sur sa compétence (art. 59 al. 2 let. b CPC), le tribunal doit tout d'abord examiner si le ou les faits pertinents de la/des disposition(s) légale(s) applicable(s), en l'occurrence les art. 1 al. 1 LTPH et art. 5 al. 1 let. d CPC, sont des faits simples ou des faits doublement pertinents; les exigences de preuve sont en effet différentes pour les uns et pour les autres (sur l'ensemble de la question : ATF 141 III 294 consid. 5.2 et 5.3; 137 III 32 consid. 2). Les faits sont doublement pertinents lorsque les faits déterminants pour la compétence du tribunal sont également ceux qui sont déterminants pour le bien- fondé de l'action. Lorsqu'un canton institue une juridiction spécialisée pour connaître des litiges découlant d'un contrat de travail, ledit contrat constitue un fait doublement pertinent (ATF 137 III 32 consid. 2.3; arrêt du Tribunal fédéral 4A_484/2018 du 10 décembre 2019 consid. 5.2). En présence de tels faits, la jurisprudence prescrit en principe le procédé suivant: -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la compétence matérielle invoquée par le demandeur. Si la qualification du rapport contractuel pose une question délicate de délimitation, celle-ci devra être élucidée lors de l'examen du bien-fondé de la prétention au fond, en même temps que celle de savoir si un contrat a réellement été passé. - Si, en fonction de l'examen restreint aux éléments précités, le juge arrive à la conclusion qu'il n'est pas compétent, il doit rendre une décision d'irrecevabilité. - En revanche, 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Ainsi, le tribunal des prud'hommes doit par exemple rejeter la demande si, en examinant le fond, il</w:t>
      </w:r>
    </w:p>
    <w:p>
      <w:r>
        <w:t>- 14/21 -</w:t>
      </w:r>
    </w:p>
    <w:p>
      <w:r>
        <w:t>C/8988/2015-3 constate finalement l'inexistence d'un contrat de travail (arrêt du Tribunal fédéral 4A_484/2018 précité consid. 5.2 et les arrêts cités). La conséquence d'une telle décision est que le demandeur ne pourra plus réintroduire sa demande devant le tribunal compétent (ATF 141 III 294 consid. 5.2). Le juge peut cependant faire exception à l'application de la théorie de la double pertinence lorsque les allégués sont manifestement faux, que la thèse de la demande apparaît d'emblée spécieuse ou incohérente, ou qu'elle se trouve réfutée immédiatement et sans équivoque par la réponse et les documents de la partie défenderesse (arrêt du Tribunal fédéral 4A_484/2018 précité, ibidem et les arrêts cités). Dans une telle hypothèse, le tribunal doit se déclarer incompétent ratione materiae ou loci et déclarer la demande irrecevable d'entrée de cause, sans appliquer le renvoi au fond tel qu'il est prévu dans le cadre de la théorie des faits de double pertinence (FULD, Les faits de double pertinence en général et en droit du travail, in Panorama II en droit du travail, 2012, p. 851).</w:t>
      </w:r>
    </w:p>
    <w:p>
      <w:r>
        <w:rPr>
          <w:b/>
        </w:rPr>
        <w:t>E. 4.1.3</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4A_592/2016 du 16 mars 2017 consid. 2.1 et les arrêts cités).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ibidem et les arrêts cités).</w:t>
      </w:r>
    </w:p>
    <w:p>
      <w:r>
        <w:t>Seul l'examen de l'ensemble des circonstances du cas concret permet de</w:t>
      </w:r>
    </w:p>
    <w:p>
      <w:r>
        <w:t>- 15/21 -</w:t>
      </w:r>
    </w:p>
    <w:p>
      <w:r>
        <w:t>C/8988/2015-3 déterminer si le travail est effectué de manière dépendante ou indépendante (arrêt du Tribunal fédéral 4A_592/2016 précité, ibidem et les arrêts cités).</w:t>
      </w:r>
    </w:p>
    <w:p>
      <w:r>
        <w:rPr>
          <w:b/>
        </w:rPr>
        <w:t>E. 4.2</w:t>
      </w:r>
    </w:p>
    <w:p>
      <w:r>
        <w:t>Chaque partie doit, si la loi ne prescrit pas le contraire, prouver les faits qu'elle allègue pour en déduire son droit (art. 8 CC). Les faits qui doivent être prouvés peuvent l'être par différents moyens (cf. art. 197 al. 1 CPC; 168 CPC). Selon l'article 168 al. 1 CPC, les moyens de preuve sont le témoignage, les titres, l'inspection, l'expertise, les renseignements écrits et l'interrogatoire et la déposition de partie. Il s'agit d'une liste exhaustive des moyens de preuves (SCHWEIZER, in Commentaire romand, Code de procédure civile, 2ème éd., 2019, n. 1 ad art. 168 CPC). L'interrogatoire des parties est admis comme moyen de preuve. Le juge ne se fie toutefois en principe à la déposition d'une partie en justice que lorsque des circonstances particulières cautionnent la sincérité de cette partie ou tout au moins que certains indices objectifs viennent étayer ses déclarations (HOHL, Procédure civile, Tome II, 2010, n. 968).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132 III 109 consid. 2; arrêts du Tribunal fédéral 5A_113/2015 du 3 juillet 2015 consid. 3.2; 5A_250/2012 du 18 mai 2012 consid. 7.4.1). Il n'y a pas de hiérarchie légale entre les moyens de preuves autorisés (SCHWEIZER, op. cit., n. 19 ad art. 157 CPC).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arrêts du Tribunal fédéral 4A_234/2017 du 19 septembre 2017 consid. 4.2.2; 4A_607/2015 du 4 juillet 2016 consid. 3.2.2.2; 4A_165/2009 du 15 juin 2009 consid. 5).</w:t>
      </w:r>
    </w:p>
    <w:p>
      <w:r>
        <w:t>- 16/21 -</w:t>
      </w:r>
    </w:p>
    <w:p>
      <w:r>
        <w:t>C/8988/2015-3</w:t>
      </w:r>
    </w:p>
    <w:p>
      <w:r>
        <w:rPr>
          <w:b/>
        </w:rPr>
        <w:t>E. 4.2.4</w:t>
      </w:r>
    </w:p>
    <w:p>
      <w:r>
        <w:t>L'appelant fait grief au Tribunal de ne pas avoir retenu qu'il existait un lien de subordination entre lui et B______ SA. Ce point de vue ne résiste cependant pas à l'examen. En effet, comme tout mandataire, l'appelant devait rendre compte de son activité à l'intimée de manière régulière et délivrer ses prestations dans les délais demandés. Il avait cependant toute liberté pour organiser son travail, ce qu'ont confirmé tous les témoins entendus, et prendre ses vacances. Il ne prétend d'ailleurs aucunement qu'il devait signaler des absences ou solliciter des périodes de vacances à B______ SA. L'appelant participait certes à des réunions hebdomadaires lesquelles étaient destinées notamment à synchroniser le travail pour les parutions à venir, auxquelles étaient présents tant des employés de l'entreprise que des tiers indépendants, tels les représentants des agences de publicité externes, de sorte que cet élément n'est pas déterminant pour retenir un lien de subordination de l'appelant envers l'intimée. Ces séances de coordination, compte tenu de la particularité des prestations différentes nécessitées pour la parution d'une revue, n'apparaissent au demeurant pas inusuelles. Le fait qu'une employée de B______ SA ait été mise à disposition de l'appelant pour l'aider dans ses tâches n'enlève pas le caractère indépendant de l'activité déployée par l'appelant. Cette employée était salariée de l'intimée, elle avait pour tâches de travailler en relation avec l'appelant, elle disposait d'un contrat de travail et devait annoncer ses absences et vacances au responsable RH de la société. Le fait qu'elle ait informé à une reprise l'appelant de son absence ne permet pas de déduire que celui-ci avait un rôle hiérarchique sur cette dernière, au sein de l'entreprise. Au contraire, le témoin R______ a expressément précisé que l'appelant n'était pas en charge de la gestion du personnel mais uniquement du contenu rédactionnel qu'il remettait à B______ SA. Si certes, il est peu usuel qu'une entreprise mette à disposition une employée pour aider un indépendant auquel elle a confié une tâche, cela n'est encore pas suffisant pour considérer que ledit indépendant, qui adresse des factures pour son activité, est salarié de l'entreprise. D'autres personnes ou entités indépendantes collaborant aux deux revues concernées- et participant aux réunions hebdomadaires- adressaient également, à l'instar de l'appelant, leurs notes d'honoraires à B______ SA. L'appelant n'est ainsi pas parvenu à démontrer l'existence d'un lien de subordination entre lui et l'intimée.</w:t>
      </w:r>
    </w:p>
    <w:p>
      <w:r>
        <w:t>- 19/21 -</w:t>
      </w:r>
    </w:p>
    <w:p>
      <w:r>
        <w:t>C/8988/2015-3</w:t>
      </w:r>
    </w:p>
    <w:p>
      <w:r>
        <w:rPr>
          <w:b/>
        </w:rPr>
        <w:t>E. 4.2.5</w:t>
      </w:r>
    </w:p>
    <w:p>
      <w:r>
        <w:t>L'appelant qui a allégué dans sa demande initiale que B______ SA lui avait demandé de continuer à lui adresser des "FACTURE/NOTE DE FRAIS", malgré un engagement en qualité d'employé à 50% auprès d'elle depuis 2011 pour I______ et J______, n'a aucunement prouvé cette thèse, que l'intimée a démenti. La distinction que l'appelant fait de ces fonctions en qualité de rédacteur en chef pour le F______ et les revues I______ et J______ ne ressort par ailleurs pas des témoignages recueillis, les témoins expliquant de manière indifférenciée son activité de rédacteur en chef pour ces trois revues (M______, N______, P______ notamment).</w:t>
      </w:r>
    </w:p>
    <w:p>
      <w:r>
        <w:t>4.2.6.1 Par conséquent, le Tribunal a correctement apprécié les preuves en considérant qu'aucun contrat de travail n'avait été conclu entre l'appelant et l'intimée, les éléments constitutifs de celui-ci faisant défaut. Les premiers juges ont implicitement admis leur compétence et ont procédé à l'administration des preuves sur les faits doublement pertinents. Procédant à l'examen de la cause sur le fond, ils ont finalement constaté que les parties n'avaient pas été liées par un contrat de travail, ni par un autre type de contrat. Or, dans une telle constellation, la jurisprudence prescrit de rendre une décision de fond et de rejeter la demande, par un jugement revêtu de l'autorité de chose jugée (ATF 141 III 294 consid. 5.2.; arrêts du Tribunal fédéral 4A_10/2017 du 19 juillet 2017 consid. 1). 4.2.6.2 En l'espèce, le Tribunal a débouté l'appelant de ses prétentions découlant du contrat de travail, en exposant les raisons de cette formulation. L'appelant n'a pas contesté celle-ci dans l'hypothèse où la Cour ne retiendrait pas l'existence d'un contrat de travail entre les parties, tandis que l'intimée, qui n'a pas formé appel joint, a conclu à la confirmation du jugement entrepris.</w:t>
      </w:r>
    </w:p>
    <w:p>
      <w:r>
        <w:t>L'appel sera ainsi rejeté et le jugement confirmé, la Cour ne pouvant pas statuer ultra petita et l'appelant n'ayant invoqué aucun autre fondement à ses prétentions financières que l'existence d'un contrat de travail entre les parties qui justifierait de procéder à un autre examen.</w:t>
      </w:r>
    </w:p>
    <w:p>
      <w:r>
        <w:rPr>
          <w:b/>
        </w:rPr>
        <w:t>E. 4.3</w:t>
      </w:r>
    </w:p>
    <w:p>
      <w:r>
        <w:t>En l'espèce, les premiers juges ont, par application de la théorie des faits doublement pertinents, considéré la demande en paiement de l'appelant prima facie recevable. Pour ce faire, ils se sont fondés sur la thèse et les conclusions de ce dernier, basées uniquement sur le titre X du code des obligations, estimant ainsi envisageable l'existence d'un contrat de travail entre les parties. Autrement dit, le Tribunal a admis sa compétence, ainsi que la recevabilité de la demande, tout en renvoyant l'administration des preuves sur l'existence d'un contrat de travail (fait doublement pertinent) à la phase du procès au fond. Il sied donc de vérifier si les parties ont été liées par un contrat de travail.</w:t>
      </w:r>
    </w:p>
    <w:p>
      <w:r>
        <w:rPr>
          <w:b/>
        </w:rPr>
        <w:t>E. 4.4</w:t>
      </w:r>
    </w:p>
    <w:p>
      <w:r>
        <w:t>En l'espèce, l'appelant a saisi le Tribunal d'une action en paiement à l'encontre de l'intimée, fondée exclusivement sur les dispositions liées au contrat de travail. Il n'a invoqué aucun autre fondement possible à ses prétentions. L'intimée a, quant à elle, soulevé immédiatement l'incompétence du Tribunal saisi en raison de la matière, indiquant que les parties étaient liées par un mandat. Lorsque la compétence matérielle du Tribunal dépend de la nature de la relation juridique nouée par les parties, l'existence d'un contrat de travail est un fait doublement pertinent. Le Tribunal a ainsi appliqué la théorie de la double pertinence pour examiner cette question, a considéré après instruction de la cause que les parties n'étaient pas liées par un contrat de travail et a débouté A______ de toutes ses conclusions découlant d'un contrat de travail.</w:t>
      </w:r>
    </w:p>
    <w:p>
      <w:r>
        <w:rPr>
          <w:b/>
        </w:rPr>
        <w:t>E. 4.4.1</w:t>
      </w:r>
    </w:p>
    <w:p>
      <w:r>
        <w:t>Il est constant que l'appelant a réalisé une activité de rédacteur en chef pour les éditions de l'intimée, soit I______ et J______ et a consacré du temps à cette tâche, ce qui n'est pas contesté par les parties.</w:t>
      </w:r>
    </w:p>
    <w:p>
      <w:r>
        <w:rPr>
          <w:b/>
        </w:rPr>
        <w:t>E. 4.4.2</w:t>
      </w:r>
    </w:p>
    <w:p>
      <w:r>
        <w:t>L'appelant fait grief au Tribunal d'avoir retenu qu'il facturait son intervention à B______ SA, "comme le ferait un indépendant", et d'avoir procédé à une mauvaise lecture des pièces produites en estimant qu'il s'agissait d'honoraires, alors que, selon lui, il s'agissait de frais. Pour preuve, il se fonde sur ses propres déclarations, ainsi que sur celles de M______ et de N______.</w:t>
      </w:r>
    </w:p>
    <w:p>
      <w:r>
        <w:t>Contrairement à ce que soutient l'appelant, le Tribunal a fait une lecture correcte des documents qu'il a produits sous pièce 4 de son chargé, qui regroupe, selon l'intitulé même du bordereau déposé devant les premiers juges "diverses factures datées des 7 avril, 30 avril, 2 juin, 3 juillet, 30 juillet, 26 août, 27 septembre et 25 octobre 2014". Ces documents qui ont été émis sur le papier à en-tête de la société C______, ______, 1______ Genève-D______, et adressés à B______ SA, sont intitulés "FACTURE/NOTE DE FRAIS". Ils indiquent sous concerne en caractères gras : "Mandat de rédactions" avec la précision au-dessous "Rédaction en chef des magazines I______ + ______ + J______ (selon accord fait avec M. K______ en séance du 13 janvier 2011)". Le contenu de la prestation fournie est</w:t>
      </w:r>
    </w:p>
    <w:p>
      <w:r>
        <w:t>- 17/21 -</w:t>
      </w:r>
    </w:p>
    <w:p>
      <w:r>
        <w:t>C/8988/2015-3 résumé : mise à disposition d'un journaliste; idée de sujet, recherches et documentations; recherches iconographiques + photos C______; téléphonies – frais inclus. Le montant de la prestation fournie est de 5'500 fr. dont à déduire une somme de 125 fr. à titre de "Participation L______". Le document précise encore que le montant de 5'375 fr. à payer comprend les "frais, déplacements, e-mails, tel/fax, etc…incl". Il est signé du "service Facturation" de C______, indique à son destinataire la date ultime de paiement et le numéro de CCP sur lequel il doit intervenir. La lecture attentive du document apprend, in fine, que C______ est une structure soutenue par l'Association "W______"-Non soumis à la TVA. Le numéro de natel et l'adresse e-mail de la société (X______.ch) sont indiquée en bas de page, tandis que le numéro fixe et le fax de la société sont précisés aux côtés de l'adresse. La lecture de ce document ne permet pas une autre analyse que celle faite par le Tribunal, à savoir que C______ a adressé sa note d'honoraires, soit sa facture, pour les prestations qu'elle a fournies à B______ SA en mettant à sa disposition un journaliste et en réalisant diverses tâches listées sur sa note d'honoraires. Ce document ne peut être confondu avec la note de frais qu'un salarié fournit à son employeur afin qu'il lui rembourse certains frais engagés dans l'exercice de son travail, comme par exemple des frais d'essence ou de téléphonie. Il n'émane d'ailleurs pas de l'appelant mais de C______, agence de presse indépendante de A______. A______ n'a donc pas simplement facturé son intervention à B______ SA "comme le ferait un indépendant" mais l'a facturée en qualité d'indépendant par le biais de sa raison sociale C______. Aucune autre lecture ne peut être faite de la pièce 4 produite.</w:t>
      </w:r>
    </w:p>
    <w:p>
      <w:r>
        <w:t>L'audition des témoins M______ et N______ n'apporte pas un éclairage différent puisque le premier a indiqué ignorer la raison de l'en-tête figurant sur la pièce 4 dem. qui lui a été soumise, supposant qu'il s'agissait d'un accord passé entre A______ et B______ SA, tandis que le second a indiqué qu'il n'était pas en mesure de commenter cette pièce, ne connaissant pas la qualification des relations professionnelles qui unissait les parties. Aucun des témoins entendus n'a indiqué que l'appelant était un employé de B______ SA et recevait un salaire de cette dernière. Au contraire, N______ a indiqué qu'à sa connaissance A______ était un collaborateur "extérieur" à la société, soit qui collabore avec la société mais n'est pas intégré en son sein et, qu'à ce titre, il produisait un certain nombre d'articles pour cette dernière.</w:t>
      </w:r>
    </w:p>
    <w:p>
      <w:r>
        <w:rPr>
          <w:b/>
        </w:rPr>
        <w:t>E. 4.4.3</w:t>
      </w:r>
    </w:p>
    <w:p>
      <w:r>
        <w:t>L'appelant fait grief au Tribunal de ne pas avoir tenu compte du fait qu'il percevait une "rémunération fixe" de 5'500 fr. par mois et bénéficiait d'une place de parking dont la moitié était payée par l'intimée. Cet argument est irrelevant dès lors que rien n'empêche les parties à un contrat, notamment de mandat, de prévoir que la prestation fournie par l'un sera rétribuée par l'autre chaque mois par un montant convenu forfaitairement. De même, rien n'empêche au fournisseur de ladite prestation de se voir louer une place de parking par celui qui doit le</w:t>
      </w:r>
    </w:p>
    <w:p>
      <w:r>
        <w:t>- 18/21 -</w:t>
      </w:r>
    </w:p>
    <w:p>
      <w:r>
        <w:t>C/8988/2015-3 rétribuer. Par ailleurs, si un bureau a été mis à disposition de l'appelant dans les locaux de l'intimée, sa présence dans les locaux n'était pas indispensable, ce qu'ont confirmé tous les témoins entendus sur cette question. Des pigistes externes bénéficiaient également de places de travail au sein de l'entreprise ce qui se conçoit, compte tenu du travail de collaboration exigée par la parution d'une revue. L'appelant disposait par ailleurs d'un bureau propre qu'il louait à O______. Si certes ce dernier a indiqué que A______ l'occupait moins depuis qu'il collaborait avec B______ SA, ceci est irrelevant dans l'examen de l'existence d'un contrat de travail.</w:t>
      </w:r>
    </w:p>
    <w:p>
      <w:r>
        <w:rPr>
          <w:b/>
        </w:rPr>
        <w:t>E. 5</w:t>
      </w:r>
    </w:p>
    <w:p>
      <w:r>
        <w:t>La valeur litigieuse en appel étant supérieur à 50'000 fr., il sera perçu des frais judiciaires. Les frais judiciaires d'appel seront arrêtés à 400 fr. (art. 19 al. 3 let. c LaCC et art. 71 RTFMC) et entièrement compensés avec l'avance de frais versée par l'appelant qui reste acquise à l'Etat de Genève (art. 111 al. 1 CPC).</w:t>
      </w:r>
    </w:p>
    <w:p>
      <w:r>
        <w:t>Il n'est pas alloué de dépens (art. 22 al. 2 LaCC).</w:t>
      </w:r>
    </w:p>
    <w:p>
      <w:r>
        <w:t>- 20/21 -</w:t>
      </w:r>
    </w:p>
    <w:p>
      <w:r>
        <w:t>C/8988/2015-3</w:t>
      </w:r>
    </w:p>
    <w:p>
      <w:r>
        <w:t>* * * * * PAR CES MOTIFS, La Chambre des prud'hommes, groupe 3 : A la forme : Déclare recevable l'appel formé le 11 avril 2019 par A______ contre le jugement JTPH/101/2019 rendu le 15 mars 2019 par le Tribunal des Prud'hommes dans la cause C/8988/2015-3. Au fond : Le rejette et confirme le jugement entrepris.</w:t>
      </w:r>
    </w:p>
    <w:p>
      <w:r>
        <w:t>Sur les frais: Arrête les frais judiciaires d'appel à 400 fr., les met à la charge de A______ et les compense avec l'avance de frais effectuée par ce dernier, qui reste acquise à l'Etat de Genève.</w:t>
      </w:r>
    </w:p>
    <w:p>
      <w:r>
        <w:t>Dit qu'il n'est pas alloué de dépens. Siégeant : Madame Jocelyne DEVILLE-CHAVANNE, présidente; Madame Monique LENOIR et Monsieur Claudio PANNO, juges. Madame Chloé RAMAT, greffière.</w:t>
      </w:r>
    </w:p>
    <w:p>
      <w:r>
        <w:t>- 21/21 -</w:t>
      </w:r>
    </w:p>
    <w:p>
      <w:r>
        <w:t>C/8988/2015-3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