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CAPH/180/2021 vom 28. September 2021</w:t>
      </w:r>
    </w:p>
    <w:p>
      <w:r>
        <w:t>GE Cour de justice, 2021-09-28, FR</w:t>
      </w:r>
    </w:p>
    <w:p>
      <w:r>
        <w:rPr>
          <w:b/>
        </w:rPr>
        <w:t xml:space="preserve">Quelle: </w:t>
      </w:r>
      <w:r>
        <w:t>https://mcp.opencaselaw.ch/entscheid/ge_gerichte_CAPH_180_2021</w:t>
      </w:r>
    </w:p>
    <w:p>
      <w:r>
        <w:t>FR: GE_GERICHTE CAPH/180/2021 du 28 septembre 2021</w:t>
      </w:r>
    </w:p>
    <w:p>
      <w:r>
        <w:t>IT: GE_GERICHTE CAPH/180/2021 del 28 settembre 2021</w:t>
      </w:r>
    </w:p>
    <w:p>
      <w:pPr>
        <w:pStyle w:val="Heading2"/>
      </w:pPr>
      <w:r>
        <w:t>Erwägungen</w:t>
      </w:r>
    </w:p>
    <w:p>
      <w:r>
        <w:rPr>
          <w:b/>
        </w:rPr>
        <w:t>E. 1.1</w:t>
      </w:r>
    </w:p>
    <w:p>
      <w:r>
        <w:t>La décision querellée, en tant qu'elle admet ou refuse un moyen de preuve, est une ordonnance d'instruction, susceptible de recours immédiat si elle est de nature à causer un préjudice difficilement réparable (art. 319 let. b ch. 2 CPC).</w:t>
      </w:r>
    </w:p>
    <w:p>
      <w:r>
        <w:t>Le Tribunal des Prud'hommes n'a pas formellement joint sous un même numéro de cause les procédures C/21540/2013 et C/6479/2013, lesquelles ont conservé leur numéro de cause initiale, mais a fait une instruction parallèle de ces deux causes, de sorte qu'il a rendu une ordonnance unique dans les deux causes précitées, portant cependant respectivement les références OTPH/1315/2020 dans la cause C/21540/2013 et OTPH/1316/2020 dans la cause C/6479/2013, références non spécifiées aux parties lors de la notification de l'ordonnance.</w:t>
      </w:r>
    </w:p>
    <w:p>
      <w:r>
        <w:t>Le recours interjeté le 31 août 2020 contre l'ordonnance rendue dans les causes C/21540/2013 et C/6479/2013, notifiée à l'issue de l'audience du 20 août 2020 aux parties, dans le délai de 10 jours, et dans la forme prescrite par la loi (art. 130, 131 et 321 al. 1 et 2 CPC), est ainsi recevable. Un même arrêt sera rendu dans les deux causes concernées, le recours étant formé contre l'ordonnance unique du 20 août 2020 portant les références OTPH/1315/2020 dans la cause C/21540/2013 et OTPH/1316/2020 dans la cause C/6479/2020.</w:t>
      </w:r>
    </w:p>
    <w:p>
      <w:r>
        <w:t>- 7/12 -</w:t>
      </w:r>
    </w:p>
    <w:p>
      <w:r>
        <w:t>C/21540/2013-4</w:t>
      </w:r>
    </w:p>
    <w:p>
      <w:r>
        <w:rPr>
          <w:b/>
        </w:rPr>
        <w:t>E. 2</w:t>
      </w:r>
    </w:p>
    <w:p>
      <w:r>
        <w:t>L'intimé fait valoir que la recourante a allégué de nombreux faits nouveaux dans son recours.</w:t>
      </w:r>
    </w:p>
    <w:p>
      <w:r>
        <w:rPr>
          <w:b/>
        </w:rPr>
        <w:t>E. 2.1</w:t>
      </w:r>
    </w:p>
    <w:p>
      <w:r>
        <w:t>Dans la procédure de recours, les conclusions, les allégations de faits et les preuves nouvelles sont irrecevables devant l'autorité de recours (art. 326 al. 1 CPC).</w:t>
      </w:r>
    </w:p>
    <w:p>
      <w:r>
        <w:t>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L'autorité de recours contrôle la conformité au droit de la décision attaquée, dans les mêmes conditions que celles dans lesquelles se trouvait l'autorité de première instance (HOHL, Procédure civile, tome II, 2010, n° 2516).</w:t>
      </w:r>
    </w:p>
    <w:p>
      <w:r>
        <w:rPr>
          <w:b/>
        </w:rPr>
        <w:t>E. 2.2</w:t>
      </w:r>
    </w:p>
    <w:p>
      <w:r>
        <w:t>Il s'ensuit que les pièces nouvelles déposées par la recourante, ainsi que les faits qui s'y rapportent, sont irrecevables. En revanche, contrairement à ce que soutient l'intimé, l'argumentation contenue dans la partie en droit du recours, en particulier le fait que la procédure pénale P/2______/2013 contient des informations confidentielles, ne constitue pas des faits nouveaux. En effet, il s'agit de la thèse soutenue par la recourante pour s'opposer à l'ordonnance litigieuse, de sorte qu'elle est recevable. De plus, les allégués de la recourante contenus dans la partie en fait de son recours ressortent tous de ses écritures de première instance, en particulier celle complémentaire du 23 décembre 2019, même si la formulation de ceux-ci ne sont pas strictement identiques. Ces allégués ne sont donc pas nouveaux.</w:t>
      </w:r>
    </w:p>
    <w:p>
      <w:r>
        <w:rPr>
          <w:b/>
        </w:rPr>
        <w:t>E. 3</w:t>
      </w:r>
    </w:p>
    <w:p>
      <w:r>
        <w:t>Reste à déterminer si l'ordonnance querellée est susceptible de causer un préjudice difficilement réparable à la recourante.</w:t>
      </w:r>
    </w:p>
    <w:p>
      <w:r>
        <w:rPr>
          <w:b/>
        </w:rPr>
        <w:t>E. 3.1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(JEANDIN, Commentaire romand CPC, 2019, n° 22 ad art. 319 CPC). Le préjudice sera ainsi considéré comme difficilement réparable s'il ne peut pas être supprimé ou seulement partiellement, même dans l'hypothèse d'une décision finale favorable au recourant (ATF 134 III 188 consid. 2.1 et 2.2; REICH, Schweizerische Zivilprozessordnung, 2010, n° 8 ad art. 319 CPC), ce qui surviendra lorsque la sauvegarde de secrets est en jeu, par exemple lorsque des</w:t>
      </w:r>
    </w:p>
    <w:p>
      <w:r>
        <w:t>- 8/12 -</w:t>
      </w:r>
    </w:p>
    <w:p>
      <w:r>
        <w:t>C/21540/2013-4 secrets d'affaires sont révélés ou qu'il y a atteinte à des droits absolus à l'instar de la réputation, de la propriété et du droit à la sphère privée (arrêts du Tribunal fédéral 4A_63/2016 du 10 octobre 2016 consid. 1.1; 4A_195/2010 du 8 juin 2010 consid. 1.1.1 et 4A_315/2008 du 27 avril 2009 consid. 1.5; OGer/ZH RB170016 du 26 juin 2017 consid. 3.4; JEANDIN, op. cit., n° 22a ad art. 319 CPC; BASTONS BULLETTI, Petit commentaire CPC, 2020, n° 14 ad art. 319 CPC). Si on exclut le recours immédiat contre une ordonnance qui, par hypothèse, exige à tort la divulgation d'éléments secrets concernant une tierce personne, on cause un préjudice irréparable pour le tiers, dont le législateur veut précisément protéger la situation (cf. art. 163 CPC). Une telle solution n'apparaît pas satisfaisante. La lettre de l'art. 93 al. 1 let. a LTF, respectivement l'art. 319 lit. b ch. 2 CPC, n'exige au demeurant pas que le risque de préjudice irréparable menace la partie recourante elle-même (arrêt du Tribunal fédéral 4A_63/2016 du 10 octobre 2016 consid. 1.2). Il appartient au recourant d'alléguer et d'établir la possibilité que la décision incidente lui cause un préjudice difficilement réparable, à moins que cela ne fasse d'emblée aucun doute (ATF 134 III 426 consid. 1.2; 133 III 629 consid. 2.3.1).</w:t>
      </w:r>
    </w:p>
    <w:p>
      <w:r>
        <w:rPr>
          <w:b/>
        </w:rPr>
        <w:t>E. 3.2</w:t>
      </w:r>
    </w:p>
    <w:p>
      <w:r>
        <w:t>En l'espèce, il est manifeste que les informations et les documents contenus dans la procédure pénale P/2______/2013 opposant la recourante à des tiers, en particulier les accords transactionnels conclus entre ces derniers, ont un caractère confidentiel. Dès que ces documents et ces informations seront produits dans les présentes procédures et portés à la connaissance de l'intimé, ceux-ci seront définitivement révélés. Il s'ensuit que, par la nature des choses, il ne sera plus possible de revenir en arrière en ce sens que la connaissance ainsi acquise par l'intimé ne pourrait plus être supprimée. L'ordonnance querellée est ainsi susceptible de causer un préjudice difficilement réparable à la recourante, de sorte que son recours est recevable. Le fait que l'intimé pourrait utiliser et/ou rendre public les informations contenues dans la procédure pénale P/2______/2013 n'est, en revanche, pas pertinent, car il s'agit d'une supposition, qui ne saurait fonder un préjudice difficilement réparable.</w:t>
      </w:r>
    </w:p>
    <w:p>
      <w:r>
        <w:rPr>
          <w:b/>
        </w:rPr>
        <w:t>E. 4</w:t>
      </w:r>
    </w:p>
    <w:p>
      <w:r>
        <w:t>La recourante reproche au Tribunal d'avoir ordonné la production de pièces qui ne sont pas pertinentes pour la résolution du litige et qui contiennent des informations sensibles et confidentielles.</w:t>
      </w:r>
    </w:p>
    <w:p>
      <w:r>
        <w:rPr>
          <w:b/>
        </w:rPr>
        <w:t>E. 4.1</w:t>
      </w:r>
    </w:p>
    <w:p>
      <w:r>
        <w:t>Selon l'art. 150 CPC, la preuve n'a pour objet que des faits pertinents et contestés. Les faits pertinents sont ceux propres à influencer la solution juridique du litige. Le droit d'être entendu garanti par l'art. 29 al. 2 Cst inclut le droit à</w:t>
      </w:r>
    </w:p>
    <w:p>
      <w:r>
        <w:t>- 9/12 -</w:t>
      </w:r>
    </w:p>
    <w:p>
      <w:r>
        <w:t>C/21540/2013-4 l'administration des preuves valablement offertes, à moins que le fait à prouver ne soit dépourvu de pertinence ou que la preuve apparaisse manifestement inapte à la révélation de la vérité. Par ailleurs, le juge est autorité à effectuer une appréciation anticipée des preuves déjà disponibles et, s'il peut admettre de façon exempte d'arbitraire qu'une preuve supplémentaire offerte par une partie serait impropre à ébranler sa conviction, refuser d'administrer cette preuve (arrêts du Tribunal fédéral 4A_487/2018 du 30 janvier 2019 consid. 4.2.1 et 4A_229/2012 du 19 juillet 2012 consid. 4). Le Tribunal ordonne les mesures propres à éviter que l'administration des preuves ne porte atteinte à des intérêts dignes de protection des parties ou de tiers, notamment à des secrets d'affaires (art. 156 CPC). En principe, les parties et les tiers sont tenus de collaborer à l'administration des preuves (art. 160 al. 1 CPC). Une partie peut toutefois s'opposer à l'administration des preuves lorsque cette dernière pourrait exposer un de ses proches à une poursuite pénale ou engager sa responsabilité civile (let. a) ou lorsque la révélation d'un secret pourrait être punissable en vertu de l'art. 321 du code pénal (let. b) (art. 163 al. 1 CPC). Les dépositaires d'autres secrets protégés par la loi peuvent refuser de collaborer s'ils rendent vraisemblable que l'intérêt à garder le secret l'emporte sur l'intérêt à la manifestation de la vérité (art. 163 al. 2 CPC). 4.2.1 En l'occurrence, l'intimé sollicite l'apport de l'intégralité de la procédure pénale P/2______/2013, afin de prouver le comportement pénalement répréhensible de la recourante dans le cadre de la gestion du I______, justifiant, selon lui, la violation de son devoir de fidélité et de confidentialité à l'égard de celle-ci. Il n'appartient toutefois pas au Tribunal des prud'hommes de résoudre, sur la base du dossier pénal requis, la question d'un éventuel comportement pénalement répréhensible de la recourante à l'encontre de tiers. Les premiers juges doivent déterminer si, oui ou non, le licenciement litigieux était abusif, compte tenu du motif invoqué à l'appui de celui-ci, et si l'intimé a, oui ou non, violé ses devoirs envers la recourante en transmettant des informations à des tiers et ce, indépendamment de la qualification pénale du comportement de celle-ci. L'apport de l'intégralité de la procédure pénale P/2______/2013 n'apparaît donc pas pertinent, d'autant plus que celle-ci a été classée en raison d'accords transactionnels conclus entre la recourante, d'une part, et des tiers, d'autre part, et non en raison d'une condamnation de celle-ci. Par ailleurs, en sa qualité d'ancien "Compliance Manager" auprès de la recourante, l'intimé détient déjà les documents et les informations nécessaires pour accréditer sa thèse selon laquelle il avait transmis des informations relatives à la gestion problématique du I______ afin de se défendre (état de nécessité) et non de nuire à</w:t>
      </w:r>
    </w:p>
    <w:p>
      <w:r>
        <w:t>- 10/12 -</w:t>
      </w:r>
    </w:p>
    <w:p>
      <w:r>
        <w:t>C/21540/2013-4 la recourante. En effet, c'est la transmission des documents et informations précités à des tiers qui a abouti à l'ouverture de la procédure pénale P/2______/2013. Enfin, il est évident que la procédure pénale P/2______/2013 contient des données sensibles concernant la recourante, ainsi que E______, F______, G______ et H______, telles que des courriers d'avocats ou encore des informations sur les situations financières de ces derniers. Dans ces circonstances particulières, la Cour considère que l'apport de l'intégralité de la procédure pénale P/2______/2013, non caviardée, n'est pas nécessaire pour la résolution du litige et ne sert ainsi pas un intérêt à la manifestation de la vérité. 4.2.2 L'intimé sollicite également la production des accords transactionnels conclus dans le cadre de la procédure pénale P/2______/2013 entre la recourante, d'une part, et E______, F______, G______ et H______, d'autres parts. Or, lesdits accords ne sont pas pertinents pour l'issue du litige. En effet, l'intimé a sollicité la production de ceux-ci afin de déterminer dans quelle mesure la recourante avait été indemnisée s'agissant de ses frais d'avocats encourus dans la procédure pénale P/2______/2013. Cette dernière a toutefois renoncé, lors de l'audience du 20 août 2020, à sa conclusion tendant au remboursement par l'intimé des frais précités. Il résulte de ce qui précède que l'apport de l'intégralité de la procédure pénale P/2______/2013, non caviardée, ainsi que la production des accords transactionnels conclus dans le cadre de celle-ci, ne sont pas justifiés. L'intérêt de la recourante et des tiers au maintien du secret de l'instruction de la procédure pénale devant, en l'occurrence, primer. Partant, l'ordonnance entreprise sera annulée et la requête de l'intimé en production des accords conclus dans le cadre de la procédure P/2______/2013 et en apport de celle-ci sera rejetée.</w:t>
      </w:r>
    </w:p>
    <w:p>
      <w:r>
        <w:rPr>
          <w:b/>
        </w:rPr>
        <w:t>E. 5</w:t>
      </w:r>
    </w:p>
    <w:p>
      <w:r>
        <w:t>Les frais judiciaires de recours seront arrêtés à 500 fr. (art. 19 al. 3 let. c LaCC) et mis à la charge de l'intimé, qui succombe (art. 106 al. 1 CPC). Ils seront compensés avec l'avance de même montant fournie par la recourante, laquelle demeure acquise à l'Etat de Genève (art. 111 al. 1 CPC). L'intimé sera condamné à verser 500 fr. à la recourante à titre de remboursement de l'avance de frais (art. 111 al. 2 CPC). Il ne sera pas alloué de dépens (art. 22 al. 2 LaCC).</w:t>
      </w:r>
    </w:p>
    <w:p>
      <w:r>
        <w:t>- 11/12 -</w:t>
      </w:r>
    </w:p>
    <w:p>
      <w:r>
        <w:t>C/21540/2013-4 PAR CES MOTIFS, La Chambre des prud'hommes, groupe 4 : A la forme : Déclare recevable le recours formé le 31 août 2020 par A______ SA contre l'ordonnance d'instruction rendue par le Tribunal des prud'hommes le 20 août 2020 dans les causes C/21540/2013 (OTPH/1315/2020) et C/6479/2013 (OTPH/1316/2020). Au fond : Annule l'ordonnance d'instruction entreprise, soit l'ordonnance OTPH/1315/2020 dans la cause C/21540/2013 et OTPH/1316/2020 dans la cause C/6479/2013. Rejette la requête de B______ visant à l'apport de la procédure pénale P/2______/2013, ainsi que la production des accords transactionnels conclus dans le cadre de celle-ci par A______ SA, d'une part, et par E______, F______, G______ et H______, d'autre part. Arrête les frais judiciaires de recours à 500 fr., les compense entièrement avec l'avance fournie, qui reste acquise à l'Etat de Genève, et les met à la charge de B______. Condamne B______ à verser 500 fr. à A______ SA à titre de frais judiciaires de recours. Dit qu'il n'y a pas lieu à l'allocation de dépens. Siégeant : Madame Jocelyne DEVILLE CHAVANNE, présidente; Madame Nadia FAVRE, juge employeur; Madame Ana ROUX, juge salariée; Madame Chloé RAMAT, greffière.</w:t>
      </w:r>
    </w:p>
    <w:p>
      <w:r>
        <w:t>- 12/12 -</w:t>
      </w:r>
    </w:p>
    <w:p>
      <w:r>
        <w:t>C/21540/2013-4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