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CAPH/17/2023 vom 21. Juli 2022</w:t>
      </w:r>
    </w:p>
    <w:p>
      <w:r>
        <w:t>GE Cour de justice, 2022-07-21, FR</w:t>
      </w:r>
    </w:p>
    <w:p>
      <w:r>
        <w:rPr>
          <w:b/>
        </w:rPr>
        <w:t xml:space="preserve">Quelle: </w:t>
      </w:r>
      <w:r>
        <w:t>https://mcp.opencaselaw.ch/entscheid/ge_gerichte_CAPH_17_2023</w:t>
      </w:r>
    </w:p>
    <w:p>
      <w:r>
        <w:t>FR: GE_GERICHTE CAPH/17/2023 du 21 juillet 2022</w:t>
      </w:r>
    </w:p>
    <w:p>
      <w:r>
        <w:t>IT: GE_GERICHTE CAPH/17/2023 del 21 luglio 2022</w:t>
      </w:r>
    </w:p>
    <w:p>
      <w:pPr>
        <w:pStyle w:val="Heading2"/>
      </w:pPr>
      <w:r>
        <w:t>Erwägungen</w:t>
      </w:r>
    </w:p>
    <w:p>
      <w:r>
        <w:rPr>
          <w:b/>
        </w:rPr>
        <w:t>E. 1</w:t>
      </w:r>
    </w:p>
    <w:p>
      <w:r>
        <w:t>La voie du recours est ouverte contre une amende infligée en vertu de l'art. 128 al. 3 CPC (art. 128 al. 4 et art. 319 let. b. ch. 1 CPC). Interjeté selon la forme et dans le délai prescrit, que celui soit de 30 jours comme indiqué dans la décision attaquée ou de dix jours en vertu de l'art. 321 al. 2 CPC, ce qui fait l'objet de discussions dans la doctrine (voir à cet égard les références citées à l'ATF 145 III 469, consid. 4), le recours est recevable.</w:t>
      </w:r>
    </w:p>
    <w:p>
      <w:r>
        <w:t>- 4/6 -</w:t>
      </w:r>
    </w:p>
    <w:p>
      <w:r>
        <w:t>C/27208/2020-</w:t>
      </w:r>
    </w:p>
    <w:p>
      <w:r>
        <w:rPr>
          <w:b/>
        </w:rPr>
        <w:t>E. 1.2</w:t>
      </w:r>
    </w:p>
    <w:p>
      <w:r>
        <w:t>Le recours est recevable pour violation du droit et pour constatation manifestement inexacte des faits (art. 320 CPC). La constatation manifestement inexacte des faits équivaut à l'arbitraire.</w:t>
      </w:r>
    </w:p>
    <w:p>
      <w:r>
        <w:rPr>
          <w:b/>
        </w:rPr>
        <w:t>E. 2</w:t>
      </w:r>
    </w:p>
    <w:p>
      <w:r>
        <w:t>La recourante conteste sa condamnation à une amende pour divers motifs. Elle soutient notamment qu'elle aurait dû être entendue avant que l'amende soit prononcée et que les conditions pour le prononcé d'une telle amende n'étaient pas réunies.</w:t>
      </w:r>
    </w:p>
    <w:p>
      <w:r>
        <w:rPr>
          <w:b/>
        </w:rPr>
        <w:t>E. 2.1</w:t>
      </w:r>
    </w:p>
    <w:p>
      <w:r>
        <w:t>Selon l'art. 128 al. 3 CPC, la partie ou son représentant qui usent de mauvaise foi ou de procédés téméraires sont punis d'une amende disciplinaire de 2'000 fr. au plus; l'amende est de 5'000 fr. au plus en cas de récidive. Par comportement de bonne foi, on entend un comportement qui, objectivement, correspond à ce qui peut être légitimement attendu des parties à un procès, à savoir une attitude éthiquement correcte. Elles doivent adopter un comportement conforme à la confiance qu’elles ont suscité chez un autre acteur du procès (BOHNET, Commentaire romand, Code de procédure civile, 2ème éd., 2019, n. 7 ad art. 52 CPC). Constituent des procédés téméraires, le fait, par exemple, de bloquer une procédure en multipliant des recours abusifs (ATF 111 Ia 148, c. 4, JdT 1985 I 584) ou le fait de déposer un recours manifestement dénué de toute chance de succès dont s’abstiendrait tout plaideur raisonnable et de bonne foi (ATF 120 III 107, c. 4b). Le tribunal devra respecter le droit d’être entendu de l'intéressé avant de prononcer une amende disciplinaire (HALDY, Commentaire romand, Code de procédure civile, 2ème éd., 2019, n. 5 ad art. 128 CPC; GSCHWEND, Basler Kommentar, Zivilprozessordnung, 3ème éd., 2017, n. 24 ad art. 128 CPC). La violation du droit d'être entendu peut être réparée lorsque la partie lésée a la possibilité de s'exprimer devant une autorité de recours jouissant d'un pouvoir d'examen complet en fait et en droit (ATF 145 I 167 consid. 4.4; 142 II 218 consid. 2.8.1).</w:t>
      </w:r>
    </w:p>
    <w:p>
      <w:r>
        <w:rPr>
          <w:b/>
        </w:rPr>
        <w:t>E. 2.2</w:t>
      </w:r>
    </w:p>
    <w:p>
      <w:r>
        <w:t>En l'espèce, le Tribunal n'a pas invité la recourante à se déterminer avant d'infliger l'amende litigieuse, ce qu'il aurait dû faire afin de lui permettre de fournir d'éventuelles explications quant aux reproches que le Tribunal lui a adressés dans la décision attaquée. La Cour ne dispose pas d'un pouvoir d'examen complet en fait dans le cadre d'un recours. Cela étant, au vu des considérations qui suivent, un renvoi au Tribunal pour qu'il entende la recourante constituerait une vaine formalité. En effet, la recourante a requis, le 6 juillet 2022, le renvoi des audiences prévues les 12 et 13 juillet suivant, dont la date avait été fixée le 4 avril 2022. Le billet</w:t>
      </w:r>
    </w:p>
    <w:p>
      <w:r>
        <w:t>- 5/6 -</w:t>
      </w:r>
    </w:p>
    <w:p>
      <w:r>
        <w:t>C/27208/2020- d'avion de Me D______ avait toutefois été émis le 9 mai 2022 déjà, soit deux mois auparavant. Le motif invoqué, et son caractère impérieux, n'était par ailleurs nullement étayé. Il ressort en outre des explications fournies le 8 juillet 2022 par Me D______ qu'il avait effectué un nombre important d'allers-retours dans les deux mois précédents, de sorte que son retour à Genève pour participer à l'audience n'était pas excessivement compliqué. Il a par ailleurs mentionné à cette même occasion le coût du déplacement depuis Dubaï pour participer à l'audience, élément qu'il lui appartenait toutefois de prendre en compte avant d'effectuer son déplacement à l'étranger. Cela étant, il ne ressort pas de la décision entreprise que la recourante aurait déjà précédemment agit de la sorte dans la procédure. Il ne peut en outre pas être retenu qu'elle aurait cherché par sa demande de report à retarder de manière excessive l'avancement de la cause. A cet égard, il ne peut être considéré que le report de l'audience après l'été, à partir du 1er septembre 2022, était de nature à retarder de manière exagérée la procédure. Le Tribunal n'a par ailleurs pas fondé l'amende infligée sur le fait que la recourante aurait cherché à obtenir, ou qu'elle était susceptible d'obtenir, un avantage indu en demandant l'annulation de l'audience fixée. En tout état de cause, le Tribunal n'avait pas d'obligation de donner suite à la demande de report d'audience s'il estimait que les motifs invoqués n'étaient pas suffisants. Au vu de ce qui précède, le comportement reproché à la recourante ne peut être qualifié d'abusif et n'atteint pas le niveau de gravité requis pour que soit prononcée une amende. Le recours est ainsi fondé et l'amende prononcée sera annulée.</w:t>
      </w:r>
    </w:p>
    <w:p>
      <w:r>
        <w:rPr>
          <w:b/>
        </w:rPr>
        <w:t>E. 3</w:t>
      </w:r>
    </w:p>
    <w:p>
      <w:r>
        <w:t>Au vu du montant de l'amende contestée, la procédure de recours est gratuite (art. 114 let. c cum 116 al. 1 CPC; 19 al. 3 let. c LaCC; 71 RTFMC). * * * * *</w:t>
      </w:r>
    </w:p>
    <w:p>
      <w:r>
        <w:t>- 6/6 -</w:t>
      </w:r>
    </w:p>
    <w:p>
      <w:r>
        <w:t>C/27208/2020- PAR CES MOTIFS, La Chambre des prud'hommes, groupe :</w:t>
      </w:r>
    </w:p>
    <w:p>
      <w:r>
        <w:t>A la forme : Déclare recevable le recours formé par A______ SA contre la décision AMTPH/7/2022 rendue le 21 juillet 2022 par le Tribunal des prud'hommes dans la cause C/27208/2020. Au fond : Annule cette décision. Déboute les parties de toute autre conclusion. Dit que la procédure est gratuite. Siégeant : Monsieur Laurent RIEBEN, président; Madame Anne-Christine GERMANIER, juge employeur; Monsieur Willy KNÖPFEL, juge salarié; Monsieur Javier BARBEITO, greffier.</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