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CAPH/178/2018 vom 10. April 2018</w:t>
      </w:r>
    </w:p>
    <w:p>
      <w:r>
        <w:t>GE Cour de justice, 2018-04-10, FR</w:t>
      </w:r>
    </w:p>
    <w:p>
      <w:r>
        <w:rPr>
          <w:b/>
        </w:rPr>
        <w:t xml:space="preserve">Quelle: </w:t>
      </w:r>
      <w:r>
        <w:t>https://mcp.opencaselaw.ch/entscheid/ge_gerichte_CAPH_178_2018</w:t>
      </w:r>
    </w:p>
    <w:p>
      <w:r>
        <w:t>FR: GE_GERICHTE CAPH/178/2018 du 10 avril 2018</w:t>
      </w:r>
    </w:p>
    <w:p>
      <w:r>
        <w:t>IT: GE_GERICHTE CAPH/178/2018 del 10 aprile 2018</w:t>
      </w:r>
    </w:p>
    <w:p>
      <w:pPr>
        <w:pStyle w:val="Heading2"/>
      </w:pPr>
      <w:r>
        <w:t>Erwägungen</w:t>
      </w:r>
    </w:p>
    <w:p>
      <w:r>
        <w:rPr>
          <w:b/>
        </w:rPr>
        <w:t>E. 1.1</w:t>
      </w:r>
    </w:p>
    <w:p>
      <w:r>
        <w:t>A teneur des art. 311 al. 1 ou 321 al. 1 CPC, l'appel ou le recours s'introduisent par un acte "écrit et motivé". La motivation d'un recours doit, à tout le moins, satisfaire aux exigences qui sont posées pour un acte d'appel (arrêt du Tribunal fédéral 5A_206/2016 du 1er juin 2016 considérant 4.2.1). 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4A_290/2014 du 1er septembre 2014 consid. 3.1).</w:t>
      </w:r>
    </w:p>
    <w:p>
      <w:r>
        <w:rPr>
          <w:b/>
        </w:rPr>
        <w:t>E. 1.2</w:t>
      </w:r>
    </w:p>
    <w:p>
      <w:r>
        <w:t>En l'espèce, l'acte déposé à la Cour le 21 août 2018 est une copie de celui déposé le 15 août 2018 au Tribunal et auquel ce dernier a donné suite le 15 août 2018, en confirmant le maintien de l'audience du 21 août 2018. Ledit acte ne contient aucun moyen, ni grief, ni même aucune critique contre l'ordonnance du 13 août 2018, ni contre les courriers du Tribunal des 8 et 15 août 2018. La recourante n'indique même pas quelle est la décision attaquée.</w:t>
      </w:r>
    </w:p>
    <w:p>
      <w:r>
        <w:t>- 5/6 -</w:t>
      </w:r>
    </w:p>
    <w:p>
      <w:r>
        <w:t>C/29084/2017-1 Compte tenu de la jurisprudence sus-rappelée, l'acte du 21 août 2018 est manifestement irrecevable. De plus, si l'on devait considérer que la recourante conteste le refus de renvoyer l'audience (art. 148 ss. CPC), son recours serait irrecevable vu l'absence d'intérêt juridique (art 59 al. 2 let. a et 60 CPC), dans la mesure où ladite audience a déjà eu lieu et où elle y a participé. Il est ainsi superflu d'examiner les autres conditions de recevabilité de l'acte du 21 août 2018, en particulier la condition du préjudice difficilement réparable (art. 319 let. b CPC).</w:t>
      </w:r>
    </w:p>
    <w:p>
      <w:r>
        <w:rPr>
          <w:b/>
        </w:rPr>
        <w:t>E. 2</w:t>
      </w:r>
    </w:p>
    <w:p>
      <w:r>
        <w:t>Il n'y a pas lieu de percevoir des frais judiciaires d'appel (art. 116 CPC et 19 al. 3 let. c LaCC) ni d'allouer de dépens (art. 22 al. 2 LaCC). * * * * *</w:t>
      </w:r>
    </w:p>
    <w:p>
      <w:r>
        <w:t>- 6/6 -</w:t>
      </w:r>
    </w:p>
    <w:p>
      <w:r>
        <w:t>C/29084/2017-1</w:t>
      </w:r>
    </w:p>
    <w:p>
      <w:r>
        <w:t>PAR CES MOTIFS, La Chambre des prud'hommes, groupe 1: Déclare irrecevable le recours interjeté le 21 août 2018 par A______ SA dans la cause C/29084/2017-1. Dit qu'il n'est pas perçu de frais judiciaires ni alloué de dépens. Siégeant : Monsieur Ivo BUETTI, président; Monsieur Christian PITTET, juge employeur; Monsieur Roger EMMENEGGER, juge salarié; Madame Véronique BULUNDWE- 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