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CAPH/177/2004 vom 21. September 2004</w:t>
      </w:r>
    </w:p>
    <w:p>
      <w:r>
        <w:t>GE Cour de justice, 2004-09-21, FR</w:t>
      </w:r>
    </w:p>
    <w:p>
      <w:r>
        <w:rPr>
          <w:b/>
        </w:rPr>
        <w:t xml:space="preserve">Quelle: </w:t>
      </w:r>
      <w:r>
        <w:t>https://mcp.opencaselaw.ch/entscheid/ge_gerichte_CAPH_177_2004</w:t>
      </w:r>
    </w:p>
    <w:p>
      <w:r>
        <w:t>FR: GE_GERICHTE CAPH/177/2004 du 21 septembre 2004</w:t>
      </w:r>
    </w:p>
    <w:p>
      <w:r>
        <w:t>IT: GE_GERICHTE CAPH/177/2004 del 21 settembre 2004</w:t>
      </w:r>
    </w:p>
    <w:p>
      <w:pPr>
        <w:pStyle w:val="Heading2"/>
      </w:pPr>
      <w:r>
        <w:t>Regeste</w:t>
      </w:r>
    </w:p>
    <w:p>
      <w:r>
        <w:t>Résumé: Renvoi à laCAPH/180/2004, avec quelques modifications de détail.</w:t>
      </w:r>
    </w:p>
    <w:p>
      <w:pPr>
        <w:pStyle w:val="Heading2"/>
      </w:pPr>
      <w:r>
        <w:t>Erwägungen</w:t>
      </w:r>
    </w:p>
    <w:p>
      <w:r>
        <w:rPr>
          <w:b/>
        </w:rPr>
        <w:t>E. 1</w:t>
      </w:r>
    </w:p>
    <w:p>
      <w:r>
        <w:t>L’appel principal et l’appel incident ont été formés dans le délai et la forme prescrits. Ils sont, partant, recevables.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La Cour examine d’office sa compétence ratione materiae.</w:t>
      </w:r>
    </w:p>
    <w:p>
      <w:r>
        <w:t>Juridiction des prud’hommes</w:t>
      </w:r>
    </w:p>
    <w:p>
      <w:r>
        <w:t>Cause n° C/29518/2001 - 3 15</w:t>
      </w:r>
    </w:p>
    <w:p>
      <w:r>
        <w:t>* COUR D’APPEL *</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 prud’hommes à la lumière de la jurisprudence récente, in SJ 1982 p. 192 et ss, 196).</w:t>
      </w:r>
    </w:p>
    <w:p>
      <w:r>
        <w:t>In casu, les premiers juges ont à juste titre admis l’existence d’un rapport de travail entre E__________ et T___________, comme il résulte des considérants qui vont suivre.</w:t>
      </w:r>
    </w:p>
    <w:p>
      <w:r>
        <w:t>T___________ assoit ses conclusions d’une part sur la teneur du courrier du 27 mai 1998, lui confirmant les conditions de sa préretraite et sur le règlement de A________ (devenue C_______) relatif aux facilités de transport.</w:t>
      </w:r>
    </w:p>
    <w:p>
      <w:r>
        <w:t>Ce courrier du 27 mai 1998 constitue la modification, ou plus précisément l’adaptation de prestations promises aux termes d’un courrier de A________ du 24 septembre 1996. Ce dernier concrétise une convention entre employeur et employé, portant sur la fin des rapports de travail. D’autre part, il a déjà été jugé que le plan social « option 96 » était constitutif d’une convention collective de travail, opposable à A________ et que le règlement sur les facilités de transport est partie intégrante du contrat de travail de T___________ (ATFs du 5 janvier 1999 dans les causes 4P.168/1998 et 4C/264/1998). Vu les fondements juridiques invoqués, le litige soumis à la Cour concerne bien les rapports juridiques découlant du contrat de travail et les premiers juges ont avec raison admis leur compétence ratione materiae.</w:t>
      </w:r>
    </w:p>
    <w:p>
      <w:r>
        <w:t>Ses conclusions, fondées sur ce courrier, constituent dès lors bien des prestations issues d’un rapport de travail au sens de l’art. 1 LJP. Il en est de même, s’agissant de ses prétentions en relation avec les facilités de transport, auquel il avait droit en sa qualité d’employé, puis de préretraité du groupe C______.</w:t>
      </w:r>
    </w:p>
    <w:p>
      <w:r>
        <w:t>Il n’est pour le surplus pas contesté que T___________ exerçait ses fonctions à Genève, ce qui fonde la compétence ratione loci de la juridiction de céans.</w:t>
      </w:r>
    </w:p>
    <w:p>
      <w:r>
        <w:rPr>
          <w:b/>
        </w:rPr>
        <w:t>E. 3</w:t>
      </w:r>
    </w:p>
    <w:p>
      <w:r>
        <w:t>E__________ conteste sa qualité d’employeur et, partant, sa légitimation passive, faisant valoir que T___________ n’a jamais été son employé, mais qu’il est demeuré celui de A________.</w:t>
      </w:r>
    </w:p>
    <w:p>
      <w:r>
        <w:t>Juridiction des prud’hommes</w:t>
      </w:r>
    </w:p>
    <w:p>
      <w:r>
        <w:t>Cause n° C/29518/2001 - 3 16</w:t>
      </w:r>
    </w:p>
    <w:p>
      <w:r>
        <w:t>* COUR D’APPEL *</w:t>
      </w:r>
    </w:p>
    <w:p>
      <w:r>
        <w:t>Les premiers juges ont retenu que la filialisation du service technique de A________ se qualifiait comme un transfert d’entreprise au sens de l’art. 333 CO.</w:t>
      </w:r>
    </w:p>
    <w:p>
      <w:r>
        <w:rPr>
          <w:b/>
        </w:rPr>
        <w:t>E. 3.1</w:t>
      </w:r>
    </w:p>
    <w:p>
      <w:r>
        <w:t>En adoptant le plan social 1995, A________ s’est lié par une convention collective de travail (cf. ATF du 5 janvier 1999, cause 4P.168/1998 p. 5), applicable, aux termes même de son libellé, à l’ensemble du personnel au sol lié par le contrat-cadre, dont il n’est pas contesté que T___________ faisait partie.</w:t>
      </w:r>
    </w:p>
    <w:p>
      <w:r>
        <w:t>Les améliorations apportées audit plan social 1995 par A________ en avril 1996, avec l’accord des syndicats cocontractants, revêtent la même qualité.</w:t>
      </w:r>
    </w:p>
    <w:p>
      <w:r>
        <w:t>Ultérieurement, le service au sol aux avions et aux passagers de A________ dans lequel travaillait T___________ a été « filialisé », à savoir repris par la société M___________ nouvellement crée en août 1996.</w:t>
      </w:r>
    </w:p>
    <w:p>
      <w:r>
        <w:t>Cette opération se qualifie comme un transfert d’entreprise au sens de l’art. 333 CO.</w:t>
      </w:r>
    </w:p>
    <w:p>
      <w:r>
        <w:rPr>
          <w:b/>
        </w:rPr>
        <w:t>E. 3.2</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 FF VON KAENEL, Arbeitsvertrag, n° 7 ad art. 333 CO; BRAND e t alii., Der Einzelarbeitsvertrag im Obligationenrecht, n° 1, 10 e t 12 ad art. 333 CO; TSCHUDI, Probleme bei der Abgangsentschädigung, in Wur 1980,</w:t>
      </w:r>
    </w:p>
    <w:p>
      <w:r>
        <w:t>Juridiction des prud’hommes</w:t>
      </w:r>
    </w:p>
    <w:p>
      <w:r>
        <w:t>Cause n° C/29518/2001 - 3 17</w:t>
      </w:r>
    </w:p>
    <w:p>
      <w:r>
        <w:t>* COUR D’APPEL *</w:t>
      </w:r>
    </w:p>
    <w:p>
      <w:r>
        <w:t>p. 241; KNUS, Betriebsübergang und Arbeitsverhältnis nach schweizeri- schem Recht, thèse Zürich 1978, p. 28 et ss).</w:t>
      </w:r>
    </w:p>
    <w:p>
      <w:r>
        <w:t>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contrats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 ce dernier (ATF 123 III 466 al. consid. 3b p. 468 et les références).</w:t>
      </w:r>
    </w:p>
    <w:p>
      <w:r>
        <w:t>En l’espèce, E__________, après sa création en août 1996, a repris tant l’exploitation que le personnel du service technique de A________, soit une partie de l’entreprise de cette dernière, ce qui résulte en particulier de l’inscription au Registre du commerce, qui mentionne cette reprise de biens. Elle a ensuite, sous ses raisons sociales successives, poursuivi l’activité de ce secteur, en conservant la même structure économique et les mêmes employés.</w:t>
      </w:r>
    </w:p>
    <w:p>
      <w:r>
        <w:t>E__________ est, partant liée, en application de l’art. 333 CO, par les conditions auxquelles sont soumis les contrats de travail des employés de ce service, dont elle est devenue l’employeur dès le 1er janvier 1997 en application de l’art. 333 al. 1 CO.</w:t>
      </w:r>
    </w:p>
    <w:p>
      <w:r>
        <w:rPr>
          <w:b/>
        </w:rPr>
        <w:t>E. 3.3</w:t>
      </w:r>
    </w:p>
    <w:p>
      <w:r>
        <w:t>E__________ – qui admet que T___________ a travaillé pour elle depuis le 1er janvier 1997 - ne saurait être suivie, lorsqu’elle soutient que T___________ est demeuré l’employé de A________ (devenue ultérieurement C_______) et qu’il lui était « prêté » par cette dernière.</w:t>
      </w:r>
    </w:p>
    <w:p>
      <w:r>
        <w:t>D’une part, lors de la filialisation et du transfert d’activité, soit à fin 1996 et début 1997, rien n’a été indiqué à T___________, s’agissant du fait qu’aux contraires des autres collaborateurs du service technique de A________, son contrat de travail ne serait pas repris par E__________, mais qu’il continuerait à être l’employé de A________ tout en travaillant pour la filiale de cette dernière. E__________ ne peut à cet égard tirer argument du fait que certains employés ont accepté d’être soumis à sa convention collective sectorielle, acceptant en particulier des baisses de salaire. Ces conventions particulières constituent, s’agissant de T___________, une « res inter alios acta » et ne peuvent lui être opposées.</w:t>
      </w:r>
    </w:p>
    <w:p>
      <w:r>
        <w:t>Juridiction des prud’hommes</w:t>
      </w:r>
    </w:p>
    <w:p>
      <w:r>
        <w:t>Cause n° C/29518/2001 - 3 18</w:t>
      </w:r>
    </w:p>
    <w:p>
      <w:r>
        <w:t>* COUR D’APPEL *</w:t>
      </w:r>
    </w:p>
    <w:p>
      <w:r>
        <w:t>E_________ ne peut davantage tirer argument du fait que les fiches de salaire de T___________ ont été, jusqu’à la fin des relations de travail, soit jusqu’au 1er septembre 1997, établies à l’en-tête de A________. Il résulte en effet des déclarations du représentant de E__________, tant devant la Cour que devant les premiers juges, que l’ensemble des salaires des employés au sol du groupe ont continué, après la filialisation, à être payés par la société mère A________, laquelle tenait la comptabilité de l’ensemble du groupe. Ce mandat résulte d’ailleurs, s’agissant de E__________, du contrat écrit de mandat produit à la procédure.</w:t>
      </w:r>
    </w:p>
    <w:p>
      <w:r>
        <w:t>Les premiers juges ont ainsi reconnu à juste titre la qualité d’employeur de E__________.</w:t>
      </w:r>
    </w:p>
    <w:p>
      <w:r>
        <w:rPr>
          <w:b/>
        </w:rPr>
        <w:t>E. 4</w:t>
      </w:r>
    </w:p>
    <w:p>
      <w:r>
        <w:t>E__________ fait en outre valoir que, même s’il est admis qu’elle revêt la qualité d’employeur, seule A________, devenue C_______ – qui les finançait - est débitrice des prestations prévues au plan social « option 1996 » et concrétisées par le courrier du 22 août 1996.</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85-85 consid. 2a ; SJ 1995 P.214 ; POUDRET/SANDOZ/MONOZ, Commentaire de la LOJF n° 1.3.2.4 ad art. 43).</w:t>
      </w:r>
    </w:p>
    <w:p>
      <w:r>
        <w:t>La question de la légitimation active et passive est examinée d’office (ATF 108 II 216 = JdT 1983 I 361 consid. 1).</w:t>
      </w:r>
    </w:p>
    <w:p>
      <w:r>
        <w:t>Comme indiqué ci-dessus, les droits et obligations découlant du contrat de travail liant A________ à T___________ sont opposables à E__________ en application de l’art. 333 CO.</w:t>
      </w:r>
    </w:p>
    <w:p>
      <w:r>
        <w:t>Il en est ainsi, s’agissant de la convention conclue entre T___________ et A________ le 24 septembre 1996, antérieurement au transfert d’entreprise, et relative à la fin des rapports de travail.</w:t>
      </w:r>
    </w:p>
    <w:p>
      <w:r>
        <w:t>E__________ relève avec raison que l’art. 333 CO ne lui rend pas opposable les créances que peuvent faire valoir les retraités du secteur d’activité qu’elle a repris. Toutefois, cette restriction n’est pas réalisée in casu, puisque qu’au moment du transfert d’entreprise, T___________ n’était pas retraité, mais que ses relations de travail se sont poursuivies jusqu’à fin septembre 1997.</w:t>
      </w:r>
    </w:p>
    <w:p>
      <w:r>
        <w:t>Juridiction des prud’hommes</w:t>
      </w:r>
    </w:p>
    <w:p>
      <w:r>
        <w:t>Cause n° C/29518/2001 - 3 19</w:t>
      </w:r>
    </w:p>
    <w:p>
      <w:r>
        <w:t>* COUR D’APPEL *</w:t>
      </w:r>
    </w:p>
    <w:p>
      <w:r>
        <w:rPr>
          <w:b/>
        </w:rPr>
        <w:t>E. 4.1</w:t>
      </w:r>
    </w:p>
    <w:p>
      <w:r>
        <w:t>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SJ 2002 I p. 149, ATF in SJ 2002 I p. 574 consid. 2.2).</w:t>
      </w:r>
    </w:p>
    <w:p>
      <w:r>
        <w:rPr>
          <w:b/>
        </w:rPr>
        <w:t>E. 4.2</w:t>
      </w:r>
    </w:p>
    <w:p>
      <w:r>
        <w:t>En l’espèce, par courrier du 24 septembre 1996, A________, qui était alors l’employeur de T___________, a informé ce dernier des modalités de la retraite anticipée dont il allait bénéficier dès le 1er octobre 1997. T___________ a admis en avoir accepté les termes. Il s’agit là d’un accord contractuel portant sur la fin des rapports de travail, admissible au regard de l’art. 335 CO.</w:t>
      </w:r>
    </w:p>
    <w:p>
      <w:r>
        <w:t>Aux termes de cet accord, l’employé accepte la cessation du rapport de travail de manière anticipée au 1er octobre 1997; il accepte, de même, un versement anticipé de ses futures rentes de retraite, moyennant un</w:t>
      </w:r>
    </w:p>
    <w:p>
      <w:r>
        <w:t>Juridiction des prud’hommes</w:t>
      </w:r>
    </w:p>
    <w:p>
      <w:r>
        <w:t>Cause n° C/29518/2001 - 3 20</w:t>
      </w:r>
    </w:p>
    <w:p>
      <w:r>
        <w:t>* COUR D’APPEL *</w:t>
      </w:r>
    </w:p>
    <w:p>
      <w:r>
        <w:t>abattement qui résulte du tableau figurant au ch. 8.3.2 du plan social A________ 1995, non modifié ultérieurement sur ce point. En contrepartie, lui sont promises diverses prestations mensuelles, qui viennent se cumuler avec le versement de prestations d’assurances (K________, puis B______) et, ultérieurement, une demi rente AI.</w:t>
      </w:r>
    </w:p>
    <w:p>
      <w:r>
        <w:t>S’agissant du débiteur des prestations convenues, le texte du courrier susmentionné est dépourvu d’ambiguïté : il stipule en effet expressément que c’est A________ (soit l’employeur) qui versera à ce dernier les différentes prestations, liées à sa retraite anticipée, qui y sont énumérée.</w:t>
      </w:r>
    </w:p>
    <w:p>
      <w:r>
        <w:t>Ce texte clair – qui entraîne l’obligation pour l’employeur de T___________ de verser des prestations mensuelles convenues - n’est pas démenti par d’autres conditions du contrat ou par les circonstances dans lesquelles il a été établi.</w:t>
      </w:r>
    </w:p>
    <w:p>
      <w:r>
        <w:t>D’une part, ce courrier mentionne, en annexe, le plan social « option 96 », dont il a déjà été jugé qu’il constituait une convention collective de travail liant A________ en sa qualité d’employeur.</w:t>
      </w:r>
    </w:p>
    <w:p>
      <w:r>
        <w:t>Il ne résulte d’autre part pas davantage des circonstances qui ont entouré la conclusion de l’accord ou des modalités de son exécution que le texte susmentionné ne refléterait pas avec exactitude la réelle volonté des parties. Comme indiqué ci-dessus, la convention conclue se qualifie comme un accord entre employeur et employé sur les modalités de la fin du rapport de travail ; or, en cas de retraite anticipée, il est usuel que c’est l’employeur qui assume les prestations de préretraite prévues ; in casu, si les fiches de paie reçues par T___________ entre janvier et avril 1997 ont été libellées à l’en-tête de A________, les fiches de paie ultérieures ont été établies à l’en-tête de E__________.</w:t>
      </w:r>
    </w:p>
    <w:p>
      <w:r>
        <w:t>Peu importe, à cet égard, que les montants versés jusqu’à fin septembre 2001, en exécution de l’accord conclu, aient en réalité été opérés par C_______, au moyen de fonds spécialement prévus par cette dernière à cet effet. D’une part, l’exécution par un tiers d’une obligation contractuelle est licite ; d’autre part, il a été confirmé lors des enquêtes que, d’une manière générale, c’est C_______ qui tenait la comptabilité des filiales et qui s’occupait du versement des salaires des employés au sol « filialisés », les différentes filiales étant identifiées dans sa propre comptabilité par un code chiffré (décl. N_______). Ce mandat résulte d’ailleurs, s’agissant de E__________, d’un contrat de mandat écrit. En versant le salaire, puis les prestations de préretraite, C_______ a ainsi agi comme l’auxiliaire de l’employeur E__________.</w:t>
      </w:r>
    </w:p>
    <w:p>
      <w:r>
        <w:t>E__________ ne peut en outre tirer de conclusion favorable à sa thèse en faisant valoir que le courrier du 27 mai 1998, indiquant à T___________ l’adaptation des prestations promises, en raison de la cessation anticipée des prestations de l’assurance perte de gain, lui a été adressé par A________ et non par elle-même. En effet, comme indiqué</w:t>
      </w:r>
    </w:p>
    <w:p>
      <w:r>
        <w:t>Juridiction des prud’hommes</w:t>
      </w:r>
    </w:p>
    <w:p>
      <w:r>
        <w:t>Cause n° C/29518/2001 - 3 21</w:t>
      </w:r>
    </w:p>
    <w:p>
      <w:r>
        <w:t>* COUR D’APPEL *</w:t>
      </w:r>
    </w:p>
    <w:p>
      <w:r>
        <w:t>ci-dessus, A________, qui s’occupait de la comptabilité et du paiement des salaires des filiales, agissait alors comme non seulement en son propre nom, mais aussi et peut-être surtout comme auxiliaire de E__________.</w:t>
      </w:r>
    </w:p>
    <w:p>
      <w:r>
        <w:t>E__________ ne saurait enfin tirer argument du fait que T___________ a produit sa créance dans le sursis concordataire de C_______ et sollicité – mais non obtenu - de la Confédération (SECO) une aide destinée aux créanciers de cette dernière. D’une part en effet, T___________, à l’instar des autres préretraités du groupe, a été formellement invité à produire dans ledit sursis par courrier du 1er novembre 1998 de C_______ ; d’autre part, au vu de la contestation, par E__________, de sa qualité de débitrice et face à l’incertitude juridique qui en découlait, on ne peut reprocher à T___________ d’avoir voulu sauvegarder ses droits en produisant sa créance dans le sursis concordataire C_______ (débitrice alléguée par E__________) et d’avoir cherché à diminuer son dommage en sollicitant un versement du SECO. Enfin, il n’est pas exclu que C_______ supporte une responsabilité solidaire, s’agissant des prestations promises à T___________, la Cour n’étant toutefois pas tenue d’examiner cette question.</w:t>
      </w:r>
    </w:p>
    <w:p>
      <w:r>
        <w:t>Au vu de ce qui précède, les premiers juges ont avec raison admis la légitimation passive de E__________.</w:t>
      </w:r>
    </w:p>
    <w:p>
      <w:r>
        <w:rPr>
          <w:b/>
        </w:rPr>
        <w:t>E. 5</w:t>
      </w:r>
    </w:p>
    <w:p>
      <w:r>
        <w:t>E__________ soutient encore que plus aucune prestation n’est due, dans la mesure où T___________ a perçu de manière anticipée son capital- retraite de la B______ et qu’il perçoit une rente partielle de cette dernière. A ses yeux, le plan de préretraite prévu était destiné à assurer le niveau de vie des employés antérieur à la résiliation des rapports de travail jusqu’au versement de la rente LPP.</w:t>
      </w:r>
    </w:p>
    <w:p>
      <w:r>
        <w:t>La Cour ne saurait suivre cet avis.</w:t>
      </w:r>
    </w:p>
    <w:p>
      <w:r>
        <w:t>Il résulte en effet clairement du texte du courrier du 24 septembre 1996, et de celui du 27 mai 1998, que les prestations de préretraite devaient être versées à T___________ non jusqu’au moment où il percevrait les prestations de la B______, mais jusqu’à l’âge normal de la retraite et en concours avec les prestations de l’assurance perte de gain, puis de la B______, sous la forme d’une demi rente d’invalidité d’abord, puis d’une rente invalidité complète ensuite. D’une manière plus générale le plan social « option 69 », à l’instar du plan social A________ 1995, prévoit dans un premier temps le versement d’e 70%, puis éventuellement de 50% du dernier salaire, puis, dans un second temps, le versement de prestations transitoires et d’un « pont AVS » de l’employeur en concours avec le versement d’une rente B______ anticipée, ce jusqu’à l’âge de la retraite AVS légale. En particulier, l’art. 8.3 litt. b) chiffre 2 du plan social « option 96 » - applicable à l’ensemble des employés au sol du groupe -</w:t>
      </w:r>
    </w:p>
    <w:p>
      <w:r>
        <w:t>Juridiction des prud’hommes</w:t>
      </w:r>
    </w:p>
    <w:p>
      <w:r>
        <w:t>Cause n° C/29518/2001 - 3 22</w:t>
      </w:r>
    </w:p>
    <w:p>
      <w:r>
        <w:t>* COUR D’APPEL *</w:t>
      </w:r>
    </w:p>
    <w:p>
      <w:r>
        <w:t>prévoit en effet, ce qui résulte également des schémas d’application annexés audit plan social, qu’un « versement transitoire 2 », correspondant au montant d’une rente AVS simple, est dû à l’employé dès qu’il perçoit, de manière anticipée, les prestations de la B______ et jusqu’à ce qu’il atteigne l’âge normal de la retraite.</w:t>
      </w:r>
    </w:p>
    <w:p>
      <w:r>
        <w:t>E__________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dans le plan social « option 96 » ou ses modifications ultérieures.</w:t>
      </w:r>
    </w:p>
    <w:p>
      <w:r>
        <w:t>E__________ ne saurait enfin s’appuyer sur le texte du courrier adressé à toutes les préretraitées du groupe en novembre 2000, aux termes duquel C_______ les informe que le plan de préretraite est prolongé pour tenir compte de l’augmentation de l’âge de la retraite des femmes et qu’il sera tenu compte de toute prestation versée par l’AI ou une autre assurance : cette dernière condition – inexistante dans les courriers des 24 septembre 1996 et 27 mai 1998, dans leurs annexes ou dans le plan social « option 96 » - ne peut être opposée à T___________, dont il n’est pas établi qu’il l’aurait reçu, d’une part, lequel n’y a pas consenti, d’autre part.</w:t>
      </w:r>
    </w:p>
    <w:p>
      <w:r>
        <w:t>Les engagements résultant des courriers de 24 septembre 1996 et 27 mai 1998, et fondés sur le plan « option 96 », ne sont dès lors pas caducs du simple fait que T___________ a perçu de manière anticipée son capital- retraite de la B______.</w:t>
      </w:r>
    </w:p>
    <w:p>
      <w:r>
        <w:rPr>
          <w:b/>
        </w:rPr>
        <w:t>E. 6</w:t>
      </w:r>
    </w:p>
    <w:p>
      <w:r>
        <w:t>Il résulte de ce qui précède que E__________ est en demeure de verser à T___________ les prestations prévues, échues jusqu’à la date du présent arrêt, et qu’elle est débitrice des prestations à échoir jusqu’au terme de l’accord modifié du 22 août 1996, soit jusqu’au 1er octobre 2006.</w:t>
      </w:r>
    </w:p>
    <w:p>
      <w:r>
        <w:t>Conformément au dit courrier, ces prestations représentent :</w:t>
      </w:r>
    </w:p>
    <w:p>
      <w:r>
        <w:t>- 2'272 fr. 35 par mois du 1er au 31 mai 1998 - 1’988 fr. 30 par mois du 1er juin 1998 au 30 septembre 2002 - 1'500 fr. du 1er octobre 2002 au 31 mars 2003 - 995 fr. du 1er avril 2003 au 30 septembre 2006.</w:t>
      </w:r>
    </w:p>
    <w:p>
      <w:r>
        <w:t>Les prestations impayées échues au jour du prononcé du présent arrêt représentent dès lors :</w:t>
      </w:r>
    </w:p>
    <w:p>
      <w:r>
        <w:t>Juridiction des prud’hommes</w:t>
      </w:r>
    </w:p>
    <w:p>
      <w:r>
        <w:t>Cause n° C/29518/2001 - 3 23</w:t>
      </w:r>
    </w:p>
    <w:p>
      <w:r>
        <w:t>* COUR D’APPEL *</w:t>
      </w:r>
    </w:p>
    <w:p>
      <w:r>
        <w:t>- fr. 1'988.30 par mois du 01.12.01 au 30.09.2002 (10 mois, étant rappelé que T___________ a initialement réclamé 11 mois et a admis, à l’audience devant les premiers juges, avoir encore reçu une mensualité), soit fr. 19'883.- ; - fr. 1'500.- par mois du 1.10.02 au 31.03.03, (6 mois), soit fr. 9'000.- ; - fr. 995.- par mois du 1.4.03 au 31.08.04 (17 mois), soit fr. 16’915.- ;</w:t>
      </w:r>
    </w:p>
    <w:p>
      <w:r>
        <w:t>pour un total de fr. 45'798.-, étant rappelé que, s’agissant d’un substitut de salaire, les mensualités sont échues à la fin du mois courant.</w:t>
      </w:r>
    </w:p>
    <w:p>
      <w:r>
        <w:t>Ce montant porte intérêts moratoires à 5% l’an dès le 15 avril 2003, date moyenne.</w:t>
      </w:r>
    </w:p>
    <w:p>
      <w:r>
        <w:t>Les prestations non échues représentent quant à elles 995 fr. par mois du 1er septembre 2004 au 30 septembre 2006, ceci 12 fois l’an.</w:t>
      </w:r>
    </w:p>
    <w:p>
      <w:r>
        <w:t>Ces sommes s’entendent net, les cotisations devant, aux termes du plan social « option 96 » être supportées par l’employé.</w:t>
      </w:r>
    </w:p>
    <w:p>
      <w:r>
        <w:rPr>
          <w:b/>
        </w:rPr>
        <w:t>E. 7</w:t>
      </w:r>
    </w:p>
    <w:p>
      <w:r>
        <w:t>E__________ réclame l’imputation, sur les montants à verser, des prestations reçues par T___________ de la part de la B______.</w:t>
      </w:r>
    </w:p>
    <w:p>
      <w:r>
        <w:t>Elle ne saurait être suivie.</w:t>
      </w:r>
    </w:p>
    <w:p>
      <w:r>
        <w:t>D’une part, la B______ n’est pas venue se substituer à E__________ dans le versement des prestations qu’elle s’est engagée à servir, mais a versé à T___________ un capital en vertu d’une obligation différente, qui lui est propre. Son versement ne vient ainsi pas éteindre, à due concurrence, la dette de E__________.</w:t>
      </w:r>
    </w:p>
    <w:p>
      <w:r>
        <w:t>D’autre part, les plan sociaux A________ 1995 ou « Option 1996/2000 » ne prévoient pas l’imputation sur les prestations dues en vertu de ceux-ci des montants versés par une assurance , bien plus, il prévoit expressément le versement des prestations de l’employeur et de celles d’abord de la K________, ensuite de la B______. Enfin, ainsi qu’il a été vu ci-dessus, la lettre circulaire de C_______ du mois de novembre 2000 n’est pas opposable à T___________, en tant qu’elle prévoit une telle imputation.</w:t>
      </w:r>
    </w:p>
    <w:p>
      <w:r>
        <w:t>Cette solution s’impose encore pour un autre motif : En effet, T___________ aurait de toute manière pu prétendre au versement de son capital-retraite constitué auprès de la B______ à la date de sa retraite réglementaire (63 ans), étant rappelé que jusque-là, la B______ devait lui verser une demi rente d’invalidité et qu’il aurait</w:t>
      </w:r>
    </w:p>
    <w:p>
      <w:r>
        <w:t>Juridiction des prud’hommes</w:t>
      </w:r>
    </w:p>
    <w:p>
      <w:r>
        <w:t>Cause n° C/29518/2001 - 3 24</w:t>
      </w:r>
    </w:p>
    <w:p>
      <w:r>
        <w:t>* COUR D’APPEL *</w:t>
      </w:r>
    </w:p>
    <w:p>
      <w:r>
        <w:t>continué à percevoir de son employeur le « pont AVS » promis jusqu’à l’âge légal de la retraite, soit 65 ans. Or, même si les attestations d’assurance n’ont pas été produites, il doit être admis qu’à ce moment-là, le capital auquel il aurait pu prétendre aurait été plus élevé. En effet, le capital versé a certes été calculé sur la base d’une durée complète de cotisations, puisque les cotisations employeur et employé ont été versées à la B______ par un fonds spécial indépendant, constitué par C_______; toutefois, il n’a pas été tenu compte, dans ce calcul, des intérêts dont T___________ aurait pu bénéficier pendant la période du 1er janvier 2002 au 1er octobre 2004. Les attestations d’assurances produites par d’autres préretraités du groupe (par exemple dans la cause C/11161/02-03), attestent d’ailleurs d’une telle réduction et les allégués de T___________, qui indique que le capital retraite reçu était d’environ 35'600 fr. inférieur à celui qu’il pouvait percevoir à 63 ans, n’ont pas fait l’objet de contestations</w:t>
      </w:r>
    </w:p>
    <w:p>
      <w:r>
        <w:t>Il résulte de ce qui précède que T___________ n’a pas été enrichi en raison du versement anticipé au 1er janvier 2002 du capital-retraite de la B______ en ses mains, mais qu’il a au contraire subi un préjudice de ce fait, son capital étant inférieur à celui qu’il aurait pu percevoir le 1er octobre 2006.</w:t>
      </w:r>
    </w:p>
    <w:p>
      <w:r>
        <w:t>La même constatation s’impose d’ailleurs, si T___________ avait choisi de percevoir une rente B______ au lieu du capital. En effet, rien ne justifie, en la matière, de traiter de manière différenciée les anciens employés ayant choisi le versement de la rente et ceux ayant choisi le versement d’un capital, ou encore ceux ayant choisi le versement d’un capital partiel et d’une rente partielle.</w:t>
      </w:r>
    </w:p>
    <w:p>
      <w:r>
        <w:t>Le dommage en résultant est constitué par la capitalisation de la différence entre la rente perçue et la rente escomptée, sous imputation des rentes versées de manière anticipée. Toutefois, ce dommage n’est pas en relation de causalité adéquate avec la demeure de E__________, puisqu’il résulte d’une décision de la B______, que celle-ci a prise non en raison de la demeure de E__________, mais de la procédure concordataire dont C_______ faisait l’objet ; E__________ ne saurait ainsi réduire sa propre dette en raison de versements venant en imputation d’un dommage dont elle n’est pas tenue pour responsable.</w:t>
      </w:r>
    </w:p>
    <w:p>
      <w:r>
        <w:t>C’est enfin le lieu de préciser que la dette de E__________ n’est amoindrie ni par la production de la créance de T___________ dans le concordat de C_______, ni par son éventuelle admission à l’état de collocation. Seul un paiement dans le cadre de celui-ci, libérerait E__________ à due concurrence.</w:t>
      </w:r>
    </w:p>
    <w:p>
      <w:r>
        <w:rPr>
          <w:b/>
        </w:rPr>
        <w:t>E. 8</w:t>
      </w:r>
    </w:p>
    <w:p>
      <w:r>
        <w:t>T___________ réclame 20'000 fr. au titre des facilités de transport dont il s’estime privé.</w:t>
      </w:r>
    </w:p>
    <w:p>
      <w:r>
        <w:t>Juridiction des prud’hommes</w:t>
      </w:r>
    </w:p>
    <w:p>
      <w:r>
        <w:t>Cause n° C/29518/2001 - 3 25</w:t>
      </w:r>
    </w:p>
    <w:p>
      <w:r>
        <w:t>* COUR D’APPEL *</w:t>
      </w:r>
    </w:p>
    <w:p>
      <w:r>
        <w:rPr>
          <w:b/>
        </w:rPr>
        <w:t>E. 8.1</w:t>
      </w:r>
    </w:p>
    <w:p>
      <w:r>
        <w:t>Les premiers juges, sans les déclarer formellement irrecevables, ont considéré que les conclusions de T___________ tendant au paiement de 20'000 fr. à titre de contre-valeur des facilités de transport dont il est privé, étaient insuffisamment motivées. Dans certaines des causes dont l’apport a été ordonné, ils se sont fondés, pour ce faire, sur l’art. 11 LJP et les dispositions de la LPC, en particulier l’art. 7 LPC.</w:t>
      </w:r>
    </w:p>
    <w:p>
      <w:r>
        <w:t>T___________ ne motive pas expressément son appel sur ce point ; il reprend toutefois sa conclusion en paiement devant la Cour, laquelle se doit dès lors d’examiner la question.</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w:t>
      </w:r>
    </w:p>
    <w:p>
      <w:r>
        <w:t>S’agissant toutefois de la demande introductive d’instance, les dispositions de la LJP diffèrent de la LPC.</w:t>
      </w:r>
    </w:p>
    <w:p>
      <w:r>
        <w:t>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w:t>
      </w:r>
    </w:p>
    <w:p>
      <w:r>
        <w:t>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 que devant la Cour, la motivation de l’appel est une condition de recevabilité.</w:t>
      </w:r>
    </w:p>
    <w:p>
      <w:r>
        <w:t>Juridiction des prud’hommes</w:t>
      </w:r>
    </w:p>
    <w:p>
      <w:r>
        <w:t>Cause n° C/29518/2001 - 3 26</w:t>
      </w:r>
    </w:p>
    <w:p>
      <w:r>
        <w:t>* COUR D’APPEL *</w:t>
      </w:r>
    </w:p>
    <w:p>
      <w:r>
        <w:t>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w:t>
      </w:r>
    </w:p>
    <w:p>
      <w:r>
        <w:t>Les conclusions prises en relation avec les facilités de transport étaient dès lors recevables devant le Tribunal, comme elles le sont devant la Cour.</w:t>
      </w:r>
    </w:p>
    <w:p>
      <w:r>
        <w:rPr>
          <w:b/>
        </w:rPr>
        <w:t>E. 8.2</w:t>
      </w:r>
    </w:p>
    <w:p>
      <w:r>
        <w:t>Le règlement relatif aux facilités de transport, adopté par A________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 et qu’aucune prétention ne peut être formulée sur la base du règlement (art. 7.1). Le règlement peut au surplus être modifié unilatéralement par A________ en tout temps (art. 7.5). Ce règlement ne connaît qu’une seule catégorie de retraités (tableau A, p.29).</w:t>
      </w:r>
    </w:p>
    <w:p>
      <w:r>
        <w:t>Le règlement de 1996 a été remplacé par une nouvelle édition, de 1997, à l’en-tête de C_______. Celle-ci comporte des clauses identiques à la version de 1996, en particulier aux art. 2 et 7.2. L’art. 7.5. est complété par l’indication que le règlement ne fait pas partie intégrante du contrat de travail. Le tableau A, annexé (p. 29) distingue p’une part les retraités, d’autre part les « personnes ayant le statut de retraités ».</w:t>
      </w:r>
    </w:p>
    <w:p>
      <w:r>
        <w:t>Amené à se prononcer sur la nature et la portée desdits règlements, au regard des plans sociaux adoptés en 1993 et 1995, le Tribunal fédéral a admis que ceux-ci constituaient des clauses intégrées aux contrats de travail des employés au sol de C_______, lesquels y renvoyaient expressément (ATF du 5 janvier 1999, cause 4P.168/1999,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w:t>
      </w:r>
    </w:p>
    <w:p>
      <w:r>
        <w:t>Juridiction des prud’hommes</w:t>
      </w:r>
    </w:p>
    <w:p>
      <w:r>
        <w:t>Cause n° C/29518/2001 - 3 27</w:t>
      </w:r>
    </w:p>
    <w:p>
      <w:r>
        <w:t>* COUR D’APPEL *</w:t>
      </w:r>
    </w:p>
    <w:p>
      <w:r>
        <w:t>Le règlement relatif aux facilités de transport étant partie intégrante du contrat de travail de T___________, repris par E__________ après sa filialisation avec effet au 1er janvier 1997, cette dernière, en sa qualité d’employeur, peut se voir opposer les droits que celui-ci confère à l’employé. Sa légitimation passive doit, partant, être admise s’agissant des prétentions que T___________ fait valoir.</w:t>
      </w:r>
    </w:p>
    <w:p>
      <w:r>
        <w:t>Le Tribunal fédéral a sur le sujet relevé que l’art. 9 des plans sociaux, de même que l’art. 2.1 du règlement de 1966 conférait bien des « droits » aux bénéficiaires des facilités de transport, ce qui, liée à la notion de « règlement » impliquait une obligation à la charge de C_______.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w:t>
      </w:r>
    </w:p>
    <w:p>
      <w:r>
        <w:t>Cela étant, C_______ conservait le droit de modifier en tout temps les règlements sur les facilités de transport, sans toutefois pouvoir s’écarter de l’égalité de traitement entre les retraités et les bénéficiaires des plans sociaux 1993 et 1995 (ibidem, consid. 7 c).</w:t>
      </w:r>
    </w:p>
    <w:p>
      <w:r>
        <w:t>A cela s’ajoute que les facilités de transport étaient offertes sur les vols de lignes A________ et non sur ceux d’autres compagnies.</w:t>
      </w:r>
    </w:p>
    <w:p>
      <w:r>
        <w:t>Ce qui précède s’applique mutatis mutandis aux bénéficiaires du plan social A________ « option 1996 à 2000 ». ceux-ci prévoient en effet de manière similaire aux plans sociaux adoptés en 1993 et 1995 que les licenciés au bénéfice du plan social bénéficient du statut de retraité, s’agissant des facilités des transports.</w:t>
      </w:r>
    </w:p>
    <w:p>
      <w:r>
        <w:rPr>
          <w:b/>
        </w:rPr>
        <w:t>E. 8.3</w:t>
      </w:r>
    </w:p>
    <w:p>
      <w:r>
        <w:t>La question ne s’arrête toutefois pas là.</w:t>
      </w:r>
    </w:p>
    <w:p>
      <w:r>
        <w:t>Ainsi que l’a relevé le Tribunal fédéral, le règlement sur les facilités de transport peut en effet en tout temps être modifié par C_______,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w:t>
      </w:r>
    </w:p>
    <w:p>
      <w:r>
        <w:t>Juridiction des prud’hommes</w:t>
      </w:r>
    </w:p>
    <w:p>
      <w:r>
        <w:t>Cause n° C/29518/2001 - 3 28</w:t>
      </w:r>
    </w:p>
    <w:p>
      <w:r>
        <w:t>* COUR D’APPEL *</w:t>
      </w:r>
    </w:p>
    <w:p>
      <w:r>
        <w:t>intéressés puissent sans plaindre, pour autant que le principe de l’égalité de traitement soit respecté.</w:t>
      </w:r>
    </w:p>
    <w:p>
      <w:r>
        <w:t>C’est dans ce sens que doit, en application du principe de la confiance, être compris le fait que les facilités « reposent sur le bon vouloir de A________ (respectivement C_______); aucune prétention ne pouvant être formulée sur la base du règlement, lequel peut être modifié sans préavis».</w:t>
      </w:r>
    </w:p>
    <w:p>
      <w:r>
        <w:t>A cela s’ajoute qu’en raison du « grounding » des lignes aériennes A________ – dont E__________ ne peut être tenue pour responsable, l’octroi de facilités de transport au sens du règlement susmentionné est devenu objectivement impossible pour E__________.</w:t>
      </w:r>
    </w:p>
    <w:p>
      <w:r>
        <w:t>Ce qui précède exclut toute possibilité de réclamer des dommages- intérêts en relation avec la perte de telles facilités (art. 119 al. 1 CO ; Thévenaz/Werro, Comm. romand, no 6 ad art. 97 CO).</w:t>
      </w:r>
    </w:p>
    <w:p>
      <w:r>
        <w:t>A titre surérogatoire, la Cour relève que T___________ ne justifie nullement de la manière dont il a calculé le montant de 20'000 fr. qu’il réclame à ce titre, ni devant les premiers juges, ni devant la Cour.</w:t>
      </w:r>
    </w:p>
    <w:p>
      <w:r>
        <w:t>Ce nonobstant, T___________ peut prétendre à un traitement identique avec les retraités de E__________ (ATF du 5 janvier 1999, causes 4P.168/1998 et 4C.264/1998), dont il n’est pas exclu qu’ils puissent bénéficier, actuellement et à l’avenir, de facilités de transport auprès de lignes aériennes tierces.</w:t>
      </w:r>
    </w:p>
    <w:p>
      <w:r>
        <w:t>La Cour condamnera dès lors E__________ à le mettre au bénéfice des mêmes facilités de transport que ses retraités, ce qu’elle peut faire sans statuer ultra petita.</w:t>
      </w:r>
    </w:p>
    <w:p>
      <w:r>
        <w:rPr>
          <w:b/>
        </w:rPr>
        <w:t>E. 9</w:t>
      </w:r>
    </w:p>
    <w:p>
      <w:r>
        <w:t>L’appel de E__________ portant sur une valeur litigieuse inférieure à fr. 30'000.-, aucun émolument ne saurait être perçu. En revanche, l’appel incident portait sur une valeur litigieuse de fr. 49'891.60 [(2 X fr. 1'988.30 = fr. 3'976.60) + fr. 9'000.- + fr. 16'915.- + fr. 20'000.-].</w:t>
      </w:r>
    </w:p>
    <w:p>
      <w:r>
        <w:t>L’appel incident de T___________ est très largement fondé et il se justifie, partant, de condamner E__________ à s’acquitter de l’émolument y afférent, lequel se monte fr. 400.-.</w:t>
      </w:r>
    </w:p>
    <w:p>
      <w:r>
        <w:t>Il ne sera pas alloué de dépens, aucune des parties n’ayant plaidé de manière téméraire.</w:t>
      </w:r>
    </w:p>
    <w:p>
      <w:r>
        <w:t>Juridiction des prud’hommes</w:t>
      </w:r>
    </w:p>
    <w:p>
      <w:r>
        <w:t>Cause n° C/29518/2001 - 3 29</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