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CAPH/167/2014 vom 29. Oktober 2014</w:t>
      </w:r>
    </w:p>
    <w:p>
      <w:r>
        <w:t>GE Cour de justice, 2014-10-29, FR</w:t>
      </w:r>
    </w:p>
    <w:p>
      <w:r>
        <w:rPr>
          <w:b/>
        </w:rPr>
        <w:t xml:space="preserve">Quelle: </w:t>
      </w:r>
      <w:r>
        <w:t>https://mcp.opencaselaw.ch/entscheid/ge_gerichte_CAPH_167_2014</w:t>
      </w:r>
    </w:p>
    <w:p>
      <w:r>
        <w:t>FR: GE_GERICHTE CAPH/167/2014 du 29 octobre 2014</w:t>
      </w:r>
    </w:p>
    <w:p>
      <w:r>
        <w:t>IT: GE_GERICHTE CAPH/167/2014 del 29 ottobre 2014</w:t>
      </w:r>
    </w:p>
    <w:p>
      <w:pPr>
        <w:pStyle w:val="Heading2"/>
      </w:pPr>
      <w:r>
        <w:t>Erwägungen</w:t>
      </w:r>
    </w:p>
    <w:p>
      <w:r>
        <w:rPr>
          <w:b/>
        </w:rPr>
        <w:t>E. 1</w:t>
      </w:r>
    </w:p>
    <w:p>
      <w:r>
        <w:t>L'acte expédié à la Cour de céans est intitulé "recours".</w:t>
      </w:r>
    </w:p>
    <w:p>
      <w:r>
        <w:rPr>
          <w:b/>
        </w:rPr>
        <w:t>E. 1.1</w:t>
      </w:r>
    </w:p>
    <w:p>
      <w:r>
        <w:t>Le choix entre l'appel et le recours, exclusifs l'un de l'autre, dépend uniquement de la nature du jugement attaqué, voire de la valeur litigieuse (art. 308, 309 et 319 CPC), et non de la volonté des parties, ni du type de procédure, ni même des griefs invoqués (JEANDIN, in CPC, Code de procédure civile commenté, BOHNET/HALDY/JEANDIN/SCHWEIZER/TAPPY [éd.], 2011, n. 7 ad Intro. art. 308-334; REETZ, in SUTTER-SOMM/HASENBÖHLER/LEUENBERGER, Kommentar zur Schweizerischen Zivilprozessordnung, 2ème éd., 2013, n. 71 ad art. 308-318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(ACJC/178/2012 du 10 février 2012; REETZ, op. cit., n. 26 et 51 ad art. 308-318 CPC).</w:t>
      </w:r>
    </w:p>
    <w:p>
      <w:r>
        <w:t>- 9/13 -</w:t>
      </w:r>
    </w:p>
    <w:p>
      <w:r>
        <w:t>C/4475/2012-5 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op. cit., n. 13 ad art. 308 CPC).</w:t>
      </w:r>
    </w:p>
    <w:p>
      <w:r>
        <w:t>L'appel, écrit et motivé, est introduit auprès de l'instance d'appel dans les 30 jours à compter de la notification de la décision motivée ou de la notification postérieure de la motivation.</w:t>
      </w:r>
    </w:p>
    <w:p>
      <w:r>
        <w:rPr>
          <w:b/>
        </w:rPr>
        <w:t>E. 1.2</w:t>
      </w:r>
    </w:p>
    <w:p>
      <w:r>
        <w:t>En l'espèce, l'acte dénommé "RECOURS" répond aux conditions de recevabilité de l'appel, tant en ce qui concerne la forme que le délai. Partant, il est recevable.</w:t>
      </w:r>
    </w:p>
    <w:p>
      <w:r>
        <w:rPr>
          <w:b/>
        </w:rPr>
        <w:t>E. 1.3</w:t>
      </w:r>
    </w:p>
    <w:p>
      <w:r>
        <w:t>L'appel peut être formé pour violation du droit et constatation inexacte des faits. La Cour connaît de la cause avec plein pouvoir d'examen (art. 310 CPC). La maxime des débats s'applique, compte tenu de la valeur litigieuse supérieure à 30'000 fr. (art. 55 al. 1, 247 al. 2 let. b ch. 2 CPC).</w:t>
      </w:r>
    </w:p>
    <w:p>
      <w:r>
        <w:rPr>
          <w:b/>
        </w:rPr>
        <w:t>E. 2</w:t>
      </w:r>
    </w:p>
    <w:p>
      <w:r>
        <w:t>Les appelantes produisent des pièces nouvelles. Concernant la pièce 18, elles allèguent n'avoir appris l'adresse de F______, renvoyée en Bolivie en été 2010, qu'après des mois de recherches, raison pour laquelle son audition n'avait pu avoir lieu en première instance et pour laquelle l'attestation n'avait été établie qu'en août 2013.</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2.2</w:t>
      </w:r>
    </w:p>
    <w:p>
      <w:r>
        <w:t>Les appelantes ne démontrent aucunement les recherches effectuées pour retrouver F______, et ainsi la diligence apportée pour ce faire. La pièce 19, si elle est datée du 6 février 2014, concerne les années scolaires 2009-2010, et 2010-2011, de sorte qu'elle aurait pu être produite devant le premier juge, si les appelantes avaient fait preuve de diligence. Les pièces n°19 et 20 datent de 2000, et auraient également pu être produites en première instance. Les appelantes sont muettes sur les raisons qui les en auraient empêchées. Les pièces 18 à 22 des appelantes seront en conséquence déclarées irrecevables, leur pertinence ou leur valeur probante étant de toute façon sujette à caution.</w:t>
      </w:r>
    </w:p>
    <w:p>
      <w:r>
        <w:rPr>
          <w:b/>
        </w:rPr>
        <w:t>E. 3</w:t>
      </w:r>
    </w:p>
    <w:p>
      <w:r>
        <w:t>Les appelantes font grief aux premiers juges d'avoir apprécié arbitrairement les preuves, en retenant que l'intimée avait résidé chez l'une ou l'autre d'entre elles entre août 2008 et septembre 2010, en considérant qu'elle avait travaillé durant la</w:t>
      </w:r>
    </w:p>
    <w:p>
      <w:r>
        <w:t>- 10/13 -</w:t>
      </w:r>
    </w:p>
    <w:p>
      <w:r>
        <w:t>C/4475/2012-5 période considérée, et effectué autant d'heures supplémentaires. Elles font également valoir qu'il est impossible de statuer sur les prétentions de l'appelante, tant que les procédures pénales engagées de part et d'autre n'ont pas abouti. Comme déjà mentionné, la Cour revoit la cause avec un plein pouvoir d'examen, non limité à l'arbitraire. La suspension de la présente procédure jusqu'à droit jugé dans la procédure pénale a déjà été tranchée, de sorte qu'il n'y a pas lieu de revenir sur cette question.</w:t>
      </w:r>
    </w:p>
    <w:p>
      <w:r>
        <w:rPr>
          <w:b/>
        </w:rPr>
        <w:t>E. 3.1</w:t>
      </w:r>
    </w:p>
    <w:p>
      <w:r>
        <w:t>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t>Par ailleurs, chaque partie doit, si la loi ne prescrit le contraire, prouver les faits qu'elle allègue pour en déduire son droit (art. 8 CC).</w:t>
      </w:r>
    </w:p>
    <w:p>
      <w:r>
        <w:t>Par le contrat individuel de travail, le travailleur s'engage, pour une durée déterminée ou indéterminée, à travailler au service de l'employeur et celui-ci à payer un salaire fixé d'après le temps ou le travail fourni (art. 319 al. 1 CO).</w:t>
      </w:r>
    </w:p>
    <w:p>
      <w:r>
        <w:t>Les éléments caractéristiques du contrat individuel de travail sont donc une prestation de travail, un rapport de subordination, un élément de durée et une rémunération (AUBERT, Commentaire romand, no 1 ad art. 319 CO).</w:t>
      </w:r>
    </w:p>
    <w:p>
      <w:r>
        <w:rPr>
          <w:b/>
        </w:rPr>
        <w:t>E. 3.2</w:t>
      </w:r>
    </w:p>
    <w:p>
      <w:r>
        <w:t>En l'espèce, pour retenir que l'intimée exécutait des tâches ménagères quotidiennes chez les appelantes, sans horaires définis mais au moins de 6h à 21 h sept jours par semaine et sous la contrainte, en dormant sur un matelas dans le couloir, d'août 2008 à septembre 2010, et donc que les parties étaient liées par un contrat de travail, le Tribunal s'est fondé sur les déclarations constantes de l'intimée, le revirement des déclarations de l'appelante A______ concernant la présence de l'intimée chez sa mère ainsi que sur d'autres contradictions ou dénégations, sur les déclarations des témoins E______, I______, J______, S______, ainsi que sur l'anamnèse établie par U______. Il a jugé peu probants les déclarations des divers membres de la famille des appelantes. Celles des témoins R______ et P______ n'étaient pas incompatibles avec les allégations de l'intimée, et en tout état pas suffisantes pour ébranler sa conviction.</w:t>
      </w:r>
    </w:p>
    <w:p>
      <w:r>
        <w:t>La Cour ne peut que faire entièrement siens les motifs retenus par le Tribunal et en conséquence tenir pour établi que l'intimée était au service complet des appelantes, de 6h du matin à 21h le soir, sans jour de congé ni sans être rémunérée et ce d'août 2008 à septembre 2010, et qu'elle dormait sur un matelas dans le couloir.</w:t>
      </w:r>
    </w:p>
    <w:p>
      <w:r>
        <w:t>- 11/13 -</w:t>
      </w:r>
    </w:p>
    <w:p>
      <w:r>
        <w:t>C/4475/2012-5</w:t>
      </w:r>
    </w:p>
    <w:p>
      <w:r>
        <w:t>S'il n'est pas contesté qu'une certaine F______ se soit occupée de l'enfant de l'appelante A______, aucun élément du dossier ne démontre de manière suffisamment probante que c'était le cas entre août 2008 et septembre 2010. Et quand bien même ce serait le cas, cela ne permettrait pas encore d'exclure que l'intimée se soit chargée d'accompagner l'enfant à l'école ou chez le médecin, ni qu'elle s'en soit aussi occupée, ce que la procédure a permis d'établir.</w:t>
      </w:r>
    </w:p>
    <w:p>
      <w:r>
        <w:t>La thèse des appelantes apparaît dénuée de tout fondement. A cet égard, outre les motifs déjà évoqués, on voit mal ce que l'intimée aurait fait de ses journées, puisqu'il n'est pas contesté qu'elle n'était pas scolarisée. Les témoins I______ et J______ ont décrit, de manière convaincante, l'état dans lequel celle-ci se trouvait, indice de sa situation de quasi esclave, au service des appelantes. Le témoin E______ a vu l'intimée au service des appelantes. Le fait que l'appelante B______ ait eu d'autres personnes à son service ou à celui de sa fille pour faire le repassage et le ménage, à raison de quelques heures seulement par semaine, ne suffit pas à exclure que l'intimée ait travaillé pour elle le reste du temps. Au contraire, compte tenu de son mauvais état de santé, il est certain que l'appelante B______ avait besoin de bien davantage d'aide, laquelle était indubitablement assurée par l'intimée. Ainsi, il est évident que la seule tâche de l'intimée ne consistait pas à s'occuper de l'enfant de l'appelante A______, et qu'aucun argument ne peut être tiré du fait que celui-ci était à l'école une bonne partie de la journée. Aucun élément du dossier ne vient étayer l'affirmation selon laquelle les appelantes étaient fréquemment absentes, et de surcroît au même moment, laissant l'intimée sans travail.</w:t>
      </w:r>
    </w:p>
    <w:p>
      <w:r>
        <w:t>Le fait que des témoins qui se rendaient régulièrement aux domiciles des appelantes n'aient pas vu l'intimée ou ne l'aient pas vue travailler ne fait que renforcer l'idée qu'elle était cachée et privée de tout contact avec l'extérieur, afin d'éviter qu'elle tente d'échapper à son sort. Cette soumission totale de l'intimée aux appelantes était encore renforcée par son jeune âge, son absence de ressources et sa méconnaissance de la langue française, ainsi que les conditions dans lesquelles elle est arrivée en Suisse. Il serait ainsi choquant de considérer que l'intimée n'a pas rapporté la preuve stricte de ses allégations, alors que les appelantes ont manifestement tout fait pour éviter qu'elle ne fasse valoir ses droits, même les plus élémentaires.</w:t>
      </w:r>
    </w:p>
    <w:p>
      <w:r>
        <w:t>Au vu des considérations qui précèdent, il ne peut être reproché au Tribunal d'avoir apprécié les faits de manière inexacte ou violé le droit.</w:t>
      </w:r>
    </w:p>
    <w:p>
      <w:r>
        <w:t>Pour le surplus, les parties n'ont pas, même à titre subsidiaire, remis en cause l'application du Contrat type de travail pour les travailleurs de l'économie domestique à temps complet et à temps partiel du 30 mars 2004 (CTT), aux rapports les liant (les appelantes se limitant à contester l'existence d'une relation</w:t>
      </w:r>
    </w:p>
    <w:p>
      <w:r>
        <w:t>- 12/13 -</w:t>
      </w:r>
    </w:p>
    <w:p>
      <w:r>
        <w:t>C/4475/2012-5 contractuelle), ni les calculs opérés par les premiers juges, qui ont arrêté correctement les montants dus, à savoir : - 72'619 fr. plus intérêts à 5% dès le 1er octobre 2010, à titre de salaire d'août 2008 à septembre 2010 (dont 8'073 fr. correspondant à la valeur en espèce du logement décent auquel l'intimée avait droit); - 2'585 fr. plus intérêts à 5% dès le 1er octobre 2010, à titre d'indemnité pour le mois d'octobre 2010 (délai de congé); - 155'860 fr. 85 plus intérêts à 5% dès le 1er octobre 2010, à titre d'heures supplémentaires d'août 2008 à septembre 2010; - 6'604 fr. 20 plus intérêts à 5% dès le 1er octobre 2010, à titre de compensation pour les jours fériés travaillés et les heures supplémentaires effectuées les jours fériés travaillés; - 8'519 fr. 60 plus intérêts à 5% dès le 1er octobre 2010, à titre de compensation pécuniaire pour les vacances non prises en nature d'août 2008 à septembre 2010;</w:t>
      </w:r>
    </w:p>
    <w:p>
      <w:r>
        <w:t>Soit un total de 246'188 fr. 65.</w:t>
      </w:r>
    </w:p>
    <w:p>
      <w:r>
        <w:t>Le jugement sera en conséquence confirmé dans son intégralité.</w:t>
      </w:r>
    </w:p>
    <w:p>
      <w:r>
        <w:rPr>
          <w:b/>
        </w:rPr>
        <w:t>E. 4</w:t>
      </w:r>
    </w:p>
    <w:p>
      <w:r>
        <w:t>Les frais judiciaires de deuxième instance sont arrêtés à 2'000 fr., compte tenu de la valeur litigieuse et de la complexité de l'affaire (art. 105 al. 2 CPC, art. 19 al. 3 let. c LaCC, art. 71 RTFMC). Ils seront mis à la charge des appelantes qui succombent entièrement, et qui en ont déjà fait l'avance, laquelle reste acquise à l'Etat.</w:t>
      </w:r>
    </w:p>
    <w:p>
      <w:r>
        <w:t>Il n'est pas alloué de dépens (art. 22 al. 2 LaCC). * * * * *</w:t>
      </w:r>
    </w:p>
    <w:p>
      <w:r>
        <w:t>- 13/13 -</w:t>
      </w:r>
    </w:p>
    <w:p>
      <w:r>
        <w:t>C/4475/2012-5 PAR CES MOTIFS, La Chambre des prud'hommes, groupe 5 : A la forme : Déclare recevable l'appel formé par B______ et A______ à l'encontre du jugement JTPH/13/2014 rendu le 14 janvier 2014 par le Tribunal des prud'hommes dans la cause C/4475/2012-5. Au fond : Confirme le jugement. Déboute les parties de toute autre conclusion. Sur les frais : Arrête les frais de la procédure d'appel à 2'000 fr, couverts par l'avance déjà opérée, acquise à l'Etat de Genève. Les met à la charge de B______ et A______, solidairement entre elles. Siégeant : Madame Pauline ERARD, présidente; Madame Denise BOËX, juge employeur, Monsieur Willy KNOPFEL,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