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CAPH/165/2010 vom 7. Oktober 2010</w:t>
      </w:r>
    </w:p>
    <w:p>
      <w:r>
        <w:t>GE Cour de justice, 2010-10-07, FR</w:t>
      </w:r>
    </w:p>
    <w:p>
      <w:r>
        <w:rPr>
          <w:b/>
        </w:rPr>
        <w:t xml:space="preserve">Quelle: </w:t>
      </w:r>
      <w:r>
        <w:t>https://mcp.opencaselaw.ch/entscheid/ge_gerichte_CAPH_165_2010</w:t>
      </w:r>
    </w:p>
    <w:p>
      <w:r>
        <w:t>FR: GE_GERICHTE CAPH/165/2010 du 7 octobre 2010</w:t>
      </w:r>
    </w:p>
    <w:p>
      <w:r>
        <w:t>IT: GE_GERICHTE CAPH/165/2010 del 7 ottobre 2010</w:t>
      </w:r>
    </w:p>
    <w:p>
      <w:pPr>
        <w:pStyle w:val="Heading2"/>
      </w:pPr>
      <w:r>
        <w:t>Regeste</w:t>
      </w:r>
    </w:p>
    <w:p>
      <w:r>
        <w:t>Résumé: Dans son arrêt, la Cour, à l'instar des premiers juges, confirme que E, spécialisé dans les transferts d'argent en Suisse et à l'étranger, avait tardé à licencier T, conseiller de vente, avec effet immédiat, au motif que celui-ci était impliqué dans la disparition d'une somme d'argent. La Chambre d'appel reproche en effet à E d'avoir attendu trois semaines après la survenance des faits pour mettre un terme aux rapports contractuels.</w:t>
      </w:r>
    </w:p>
    <w:p>
      <w:pPr>
        <w:pStyle w:val="Heading2"/>
      </w:pPr>
      <w:r>
        <w:t>Erwägungen</w:t>
      </w:r>
    </w:p>
    <w:p>
      <w:r>
        <w:rPr>
          <w:b/>
        </w:rPr>
        <w:t>E. 1</w:t>
      </w:r>
    </w:p>
    <w:p>
      <w:r>
        <w:t>L’appel est recevable, ayant été interjeté dans le délai et suivant la forme prescrits (art. 56 al. 1 et 59 LJP).</w:t>
      </w:r>
    </w:p>
    <w:p>
      <w:r>
        <w:rPr>
          <w:b/>
        </w:rPr>
        <w:t>E. 2</w:t>
      </w:r>
    </w:p>
    <w:p>
      <w:r>
        <w:t>Même si le Ministère public a omis d’aviser la plaignante de sa décision de classer en l’état la procédure P/5257/2010 le 30 avril 2010, il ne saurait être question de différer le prononcé d’un arrêt sur le fond dans la présente cause, pour permettre le cas échéant à l’appelante de recourir contre la mesure de classement auprès de la Chambre d’accusation. Une telle solution contreviendrait en effet à l’exigence de célérité applicable à l’instruction des procédures prud’homales (art. 343 al. 2 CO et 11 al. 1 LJP).</w:t>
      </w:r>
    </w:p>
    <w:p>
      <w:r>
        <w:t>La Cour rappellera à ce stade que la défenderesse a renoncé à déposer une plainte pénale durant le temps pendant lequel la présente cause suivait son cours devant le Tribunal des prud’hommes. Elle ne s’est de surcroît pas enquise du sort de sa plainte à partir du mois d’avril 2010.</w:t>
      </w:r>
    </w:p>
    <w:p>
      <w:r>
        <w:t>3.1 A teneur de l’art. 337 CO, l’employeur et l’employé peuvent résilier en tout temps et avec effet immédiat le contrat pour de justes motifs. Sont notamment considérées comme tels toutes les circonstances qui, selon les règles de la bonne foi, ne permettent plus d’exiger la poursuite des rapports de travail.</w:t>
      </w:r>
    </w:p>
    <w:p>
      <w:r>
        <w:t>Mesure exceptionnelle, la résiliation sans préavis en application de la norme</w:t>
      </w:r>
    </w:p>
    <w:p>
      <w:r>
        <w:t>Juridiction des prud’hommes</w:t>
      </w:r>
    </w:p>
    <w:p>
      <w:r>
        <w:t>Cause n° C/12606/2009 - 3</w:t>
      </w:r>
    </w:p>
    <w:p>
      <w:r>
        <w:rPr>
          <w:b/>
        </w:rPr>
        <w:t>E. 6</w:t>
      </w:r>
    </w:p>
    <w:p>
      <w:r>
        <w:t>* COUR D’APPEL * précitée doit être admise de manière restrictive. Les faits invoqués à l’appui de cette décision doivent avoir entraîné la perte du rapport de confiance, qui constitue le fondement du contrat de travail. Seul un manquement particulièrement grave de l’employé justifie son licenciement immédiat; si le manquement est moins grave, il ne peut autoriser une résiliation sans préavis qu’en cas de réitération malgré un avertissement. Le juge apprécie librement s’il existe de justes motifs (art. 337 al. 3 CO). A cet effet, il prend en considération tous les éléments du cas particulier, notamment la position et la responsabilité du travailleur, le type et la durée des rapports contractuels, ainsi que la nature et l’importance des manquements dénoncés (ATF 130 III 28 consid. 4.1). Une infraction pénale commise au détriment de l’employeur constitue, en principe, un motif justifiant le licenciement du travailleur (TF, JAR 2008 p. 240 consid. 3.1), sans qu’il soit besoin d’un avertissement.</w:t>
      </w:r>
    </w:p>
    <w:p>
      <w:r>
        <w:t>Conformément à l’art. 8 CC, il incombe à la partie, qui dénonce le contrat, d’établir l’existence de justes motifs (TF, JAR 2006 p. 428; WYLER/MARTIN, Droit du travail, 2ème éd., p. 494-495).</w:t>
      </w:r>
    </w:p>
    <w:p>
      <w:r>
        <w:t>3.2. La partie qui résilie un contrat de travail en invoquant de justes motifs ne dispose que d’un court délai de réflexion pour signifier la rupture immédiate des relations. Si elle tarde à réagir, elle est présumée avoir renoncé au licenciement immédiat; à tout le moins, elle donne à penser que la continuation des rapports de travail est possible jusqu’à la fin du préavis de résiliation (ATF 127 III 310 consid. 4b).</w:t>
      </w:r>
    </w:p>
    <w:p>
      <w:r>
        <w:t>Un délai de deux à trois jours ouvrables est présumé approprié. Un délai supplémentaire n’est accordé que si les circonstances particulières du cas concret exigent d’admettre une exception à la règle (ATF 130 III 28 consid. 4.4), par exemple une semaine ou dix jours pour recueillir l’approbation des organes d’une personne morale au licenciement (TF, JAR 2009 p. 189 consid. 2.4). Une partie de la doctrine a certes critiqué la sévérité de cette jurisprudence (STREIFF/VON KAENEL, Arbeitsvertrag, 6ème éd, n. 17 i.f. ad art. 337 CO; AUBERT, Commentaire romand, n. 11 ad art. 337 CO) et le Tribunal fédéral a pris note de ces griefs (JAR 2009 précité consid. 2.4).</w:t>
      </w:r>
    </w:p>
    <w:p>
      <w:r>
        <w:t>Juridiction des prud’hommes</w:t>
      </w:r>
    </w:p>
    <w:p>
      <w:r>
        <w:t>Cause n° C/12606/2009 - 3</w:t>
      </w:r>
    </w:p>
    <w:p>
      <w:r>
        <w:rPr>
          <w:b/>
        </w:rPr>
        <w:t>E. 7</w:t>
      </w:r>
    </w:p>
    <w:p>
      <w:r>
        <w:t>* COUR D’APPEL * Il n’en a pas moins maintenu l’exigence d’un délai de deux à trois jours ouvrables dans tous les cas où l’employeur pouvait apprécier de manière claire les manquements de l’employé (TF, JAR 2008 p. 274 consid. 4.1) et où il n’existait pas de raison particulière de différer le licenciement, par exemple pour sauvegarder le résultat d’une enquête pénale (TF, JAR 2008 p. 240 consid. 3.2).</w:t>
      </w:r>
    </w:p>
    <w:p>
      <w:r>
        <w:t>Conformément à l’art. 8 CC, la partie, qui résilie le contrat avec effet immédiat, doit démontrer avoir réagi en temps utile (STREIFF/VON KAENEL, op. cit., n. 17 ad art. 337 CO et les réf.).</w:t>
      </w:r>
    </w:p>
    <w:p>
      <w:r>
        <w:t>3.3. Entre le 17 et le 27 mars 2009, les collaborateurs de l’agence de Genève de l’appelante et en particulier l’intimé ont été invités à indiquer ce qu’il était advenu de la somme manquante de 8'000 fr. Trois semaines se sont ensuite écoulées – entrecoupées du week-end pascal du vendredi 10 au lundi 13 avril -, durant lesquelles aucune démarche ne semble avoir été entreprise. Ce n’est que mardi 21 avril que l’appelante a sommé l’intimé à s’expliquer par écrit.</w:t>
      </w:r>
    </w:p>
    <w:p>
      <w:r>
        <w:t>Même si quatre personnes travaillaient à Genève, les faits étaient clairs. L’intimé avait signé le «Daily Cash Report» du 17 mars 2009 et était censé avoir versé la somme de 8'000 fr. au bancomat de Genève en faveur du siège de Y___. En attendant plus de trois semaines pour requérir des explications, l’appelante a tardé à réagir et a ainsi perdu son droit de licencier l’intimé avec effet immédiat, comme l’a retenu à juste titre le Tribunal des prud’hommes.</w:t>
      </w:r>
    </w:p>
    <w:p>
      <w:r>
        <w:t>Le jugement sera donc confirmé dans la mesure où il a condamné l’employeur, en application des art. 335c al. 1 et 337c al. 1 CO, à s’acquitter des salaires d’avril à juin 2009, dont la quotité n’a pas été contestée, en mains de l’employé et de la CAISSE CANTONALE GENEVOISE DE CHÔMAGE.</w:t>
      </w:r>
    </w:p>
    <w:p>
      <w:r>
        <w:t>4. L’appelante a renoncé à déposer une plainte pénale contre l’intimé, durant l’instruction de la cause prud’homale en première instance. Elle ne l’a fait qu’en date du 23 mars 2010 et le Procureur général a décidé de classer la procédure pénale ouverte de ce chef, vu l’insuffisance de la prévention.</w:t>
      </w:r>
    </w:p>
    <w:p>
      <w:r>
        <w:t>Juridiction des prud’hommes</w:t>
      </w:r>
    </w:p>
    <w:p>
      <w:r>
        <w:t>Cause n° C/12606/2009 - 3</w:t>
      </w:r>
    </w:p>
    <w:p>
      <w:r>
        <w:rPr>
          <w:b/>
        </w:rPr>
        <w:t>E. 8</w:t>
      </w:r>
    </w:p>
    <w:p>
      <w:r>
        <w:t>* COUR D’APPEL *</w:t>
      </w:r>
    </w:p>
    <w:p>
      <w:r>
        <w:t>Partant, il n’a pas été démontré que l’employé se serait approprié la somme de 8'000 fr. à son profit personnel ou au profit d’un tiers.</w:t>
      </w:r>
    </w:p>
    <w:p>
      <w:r>
        <w:t>En fonction des considérations qui précèdent, l’octroi d’une indemnité égale à deux mois de salaire se révèle conforme aux circonstances du cas d’espèce, en particulier à la durée des rapports de travail.</w:t>
      </w:r>
    </w:p>
    <w:p>
      <w:r>
        <w:t>Le jugement sera en conséquence intégralement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