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CAPH/160/2015 vom 23. September 2015</w:t>
      </w:r>
    </w:p>
    <w:p>
      <w:r>
        <w:t>GE Cour de justice, 2015-09-23, FR</w:t>
      </w:r>
    </w:p>
    <w:p>
      <w:r>
        <w:rPr>
          <w:b/>
        </w:rPr>
        <w:t xml:space="preserve">Quelle: </w:t>
      </w:r>
      <w:r>
        <w:t>https://mcp.opencaselaw.ch/entscheid/ge_gerichte_CAPH_160_2015</w:t>
      </w:r>
    </w:p>
    <w:p>
      <w:r>
        <w:t>FR: GE_GERICHTE CAPH/160/2015 du 23 septembre 2015</w:t>
      </w:r>
    </w:p>
    <w:p>
      <w:r>
        <w:t>IT: GE_GERICHTE CAPH/160/2015 del 23 settembre 2015</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valeur litigieuse étant, en l'espèce, supérieure à 10'000 fr., la voie de l'appel est ouverte.</w:t>
      </w:r>
    </w:p>
    <w:p>
      <w:r>
        <w:t>Formé dans les délais et selon la forme prescrits par la loi, auprès de l'autorité compétente (art. 124 let. a LOJ) par une partie qui y a intérêt (art. 59 al. 2 let. a CPC), l'appel est recevable (art. 130, 131, 142 al. 3, 145 et 311 al. 1 CPC).</w:t>
      </w:r>
    </w:p>
    <w:p>
      <w:r>
        <w:rPr>
          <w:b/>
        </w:rPr>
        <w:t>E. 2</w:t>
      </w:r>
    </w:p>
    <w:p>
      <w:r>
        <w:t>2.1.1 Le succès de toute action en justice suppose que les parties demanderesse et défenderesse aient respectivement, sur chacune des prétentions en cause, qualité</w:t>
      </w:r>
    </w:p>
    <w:p>
      <w:r>
        <w:t>- 6/11 -</w:t>
      </w:r>
    </w:p>
    <w:p>
      <w:r>
        <w:t>C/26092/2013-3 pour agir et pour défendre au regard du droit applicable La qualité pour défendre est une question de droit matériel qui se détermine selon le droit au fond et dont le défaut conduit au rejet de l'action (ATF 136 III 365 consid. 2.1; 126 III 59 consid. 1a; 125 III 82 consid. 1a; arrêt du Tribunal fédéral 4A_321/2009 du 15 janvier 2010 consid. 2). Dans l'action tendant au paiement d'un salaire en particulier, la qualité pour défendre appartient au débiteur du salaire, soit à l'employeur obligé selon l'art. 322 CO. Celui qui prétend au paiement doit ainsi établir que la partie contre qui il dirige l'action a manifesté la volonté de se lier à lui par un contrat de travail selon l'art. 319 CO (arrêts du Tribunal fédéral 4A_220/2014 du 4 août 2014 consid. 2; 4A_37/2012 du 2 avril 2012 consid. 2). Il appartient au juge de constater les manifestations de volonté propres à déterminer la qualité pour défendre, c'est-à-dire de constater, sur la base de l'appréciation des preuves et de manière aussi détaillée que nécessaire, quelles personnes ont exprimé quelles volontés et dans quelles circonstances (ATF 135 III 410 consid. 3.2; 133 III 675 consid. 3.3; arrêt du Tribunal fédéral 4A_584/2011 du 22 décembre 2011 consid. 3).</w:t>
      </w:r>
    </w:p>
    <w:p>
      <w:r>
        <w:t>2.1.2 Par le contrat de travail, le travailleur s'engage, pour une durée déterminée ou indéterminée, à travailler au service de l'employeur et celui-ci à payer un salaire fixé d'après le temps ou le travail fourni (art. 319 al. 1 CO). Les quatre éléments constitutifs du contrat de travail sont une prestation personnelle de travail, la mise à disposition par le travailleur de son temps pour une durée déterminée ou indéterminée, un rapport de subordination et un salaire (arrêt du Tribunal fédéral 4A_553/2008 du 9 février 2009 consid. 4; WYLER, Droit du travail, 2014, p. 20; AUBERT, in Code des obligations I, Commentaire romand, 2003, p. 1674).</w:t>
      </w:r>
    </w:p>
    <w:p>
      <w:r>
        <w:t>Le rapport de subordination signifie que l'activité est déployée par le travailleur de manière dépendante, sous la direction et selon les instructions de l'employeur. Il place le travailleur dans la dépendance de l'employeur sous l'angle personnel, organisationnel, économique et temporel. Le travailleur s'engage ainsi à respecter les instructions et avis de l'employeur, et à se soumettre aux mesures de supervision que celui-ci ordonne (ATF 125 III 78 consid. 4 = SJ 1999 I 385, 112 II 41 consid. 1aa; WYLER, op. cit, p. 20).</w:t>
      </w:r>
    </w:p>
    <w:p>
      <w:r>
        <w:t>2.1.3 Pour apprécier la forme et les clauses d'un contrat, le juge doit rechercher, dans un premier temps, la réelle et commune intention des parties (art. 18 al. 1 CO), le cas échéant empiriquement, sur la base d'indices.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w:t>
      </w:r>
    </w:p>
    <w:p>
      <w:r>
        <w:t>- 7/11 -</w:t>
      </w:r>
    </w:p>
    <w:p>
      <w:r>
        <w:t>C/26092/2013-3 ATF 125 III 435 consid. 2a; 122 III 118 consid. 2a; 118 II 342 consid. 1a; 112 II 245 consid. II/1c). Le moment déterminant est la conclusion du contrat. Les comportements subséquents des parties ne sont pas déterminants dans l'interprétation selon le principe de la bonne foi; ils peuvent tout au plus permettre de conclure à l'existence d'une réelle intention des parties (arrêt du Tribunal fédéral 4A_564/2014 du 11 février 2015 consid. 3.1). Déterminer, en cas de litige, l'identité de l'une ou l'autre des parties à un contrat est affaire d'interprétation des manifestations de volonté des personnes en présence, qui se résout selon les principes rappelés ci-dessus (ATF 112 II 347 consid. 1c; arrêt du Tribunal fédéral 4A_564/2014 du 11 février 2015 consid. 3.1; SJ 2000 I 125). Pour identifier l'employeur, il y a lieu de s'intéresser à différents indices, tels l'identité de la société qui procède au versement du salaire, s'acquitte des cotisations sociales et répond aux requêtes éventuelles du collaborateur, l'incorporation durable du collaborateur concerné dans une société et l'exercice effectif du pouvoir hiérarchique, lequel consiste notamment à donner au collaborateur des instructions relatives à ses tâches, à définir sa fonction et à lui transmettre des informations relatives aux modalités d'exécution de ses missions De même faut-il rechercher la société bénéficiant principalement de l'activité déployée par le collaborateur. Ces derniers indices, relatifs à l'exécution par les parties de leurs obligations, tendent à établir la réelle et commune intention des parties (arrêt du Tribunal fédéral 4A_564/2014 du 11 février 2015 consid. 3.2; DRUEY/VOGEL, Das schweizerische Konzernrecht in der Praxis der Gerichte, 1999, p. 240 n. 4 et p. 241 s n. 5). Dans un groupe de sociétés, le contrat de travail est généralement conclu avec l'une d'entre elles (ATF 130 III 213 consid. 2.2.1 = JT 2004 I 223; arrêts du Tribunal fédéral 4A_564/2014 du 11 février 2015 consid. 3.2; 4C.62/2006 du 21 avril 2006 consid. 3.3.2 et les références citées). L'employeur est en principe la partie qui a conclu le contrat en tant que tel. La question à résoudre à ce titre est donc de savoir l'organe de quelle entité du groupe a agi, respectivement pour quelle entité du groupe (arrêt du Tribunal fédéral 4A_564/2014 du 11 février 2015 consid. 3.4.1). Il est certes concevable qu'un contrat avec une filiale comprenne des indications concernant la société mère. En principe, ces indications ne lient pas la société mère. En cas de doute, on examinera le point de vue, de bonne foi, de l'employé (ATF 76 II 360; arrêt du Tribunal fédéral 4A_564/2014 du 11 février 2015 consid. 3.4.4). 2.1.4 En principe, il faut prendre en compte l'indépendance juridique d'une personne morale. Ce n'est que dans des circonstances exceptionnelles qu'un tiers peut être tenu des engagements d'un débiteur. En effet, selon le principe de la transparence ("Durchgriff"), on ne peut pas s'en tenir sans réserve à l'existence formelle de deux personnes juridiquement distinctes lorsque tout l'actif ou la</w:t>
      </w:r>
    </w:p>
    <w:p>
      <w:r>
        <w:t>- 8/11 -</w:t>
      </w:r>
    </w:p>
    <w:p>
      <w:r>
        <w:t>C/26092/2013-3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(ATF 132 III 489 consid. 3.2).</w:t>
      </w:r>
    </w:p>
    <w:p>
      <w:r>
        <w:t>2.2.1 En l'espèce, comme l'a reconnu clairement l'appelante, elle a conclu un ou des contrats de travail avec, dans un premier temps, C______ et, dans un deuxième temps, avec D______, à l'exclusion de B______.</w:t>
      </w:r>
    </w:p>
    <w:p>
      <w:r>
        <w:t>Cette dernière n'apparaît ni sur les contrats de travail, ni sur les certificats de salaire, ni sur le courrier de résiliation de son contrat de travail du 10 juin 2013. Elle n'a jamais payé de salaire à l'appelante, ni versé de cotisations sociales la concernant.</w:t>
      </w:r>
    </w:p>
    <w:p>
      <w:r>
        <w:t>Sous réserve de l'annonce de fin mai 2013, B______ n'a jamais donné aucune instruction à l'appelante concernant l'exécution de son contrat de travail, notamment ses horaires ou ses éventuelles vacances. S'agissant de l'annonce de fin mai 2013, l'appelante allègue qu'une personne de chez B______ lui aurait expliqué qu'elle resterait dans l'entreprise malgré le changement de gérant. Or cette allégation, non prouvée, est contestée par B______ laquelle indique que c'est C______ qui devait informer le personnel qu'il restait en place et que le magasin serait ouvert avec un autre gérant.</w:t>
      </w:r>
    </w:p>
    <w:p>
      <w:r>
        <w:t>A la lumière de ces éléments, la Chambre des prud'hommes retiendra que la réelle intention des parties était que les employeurs de l'appelante soient C______ et, ensuite, D______, à l'exclusion de B______. 2.2.2 S'agissant de l'application de la théorie de la transparence, il apparaît clairement que B______ d'une part et C______, respectivement D______, d'autre part, ne constituent pas une personne unique, du point de vue de la réalité économique. B______ n'est pas titulaire des raisons individuelles de C______ ou d'D______ et il n'est pas démontré que ces deux personnes privées seraient les ayants droits économiques de B______. Bien que le nom « E______ » soit attaché à chacune de ces entreprises, il n'en</w:t>
      </w:r>
    </w:p>
    <w:p>
      <w:r>
        <w:t>- 9/11 -</w:t>
      </w:r>
    </w:p>
    <w:p>
      <w:r>
        <w:t>C/26092/2013-3 demeure pas moins qu'elles se distinguent par leurs raisons sociales, respectivement individuelles, leurs sièges, leurs locaux et leurs organes. De plus, B______ a conclu avec C______ et D______ des contrats de franchise, lesquels permettent aux partenaires contractuels d'exploiter, contre une redevance de franchise, en leur nom et à leurs propres risques, un site franchisé à l'enseigne « E______ ». Dans ce cadre, B______ peut contrôler la tenue du magasin des franchisés et leur donner des instructions. Elle ne contrôle toutefois pas ces partenaires d'un point de vue financier. En particulier, les profits réalisés par le magasin de l'Adresse 2______ où travaillait l'appelante reviennent à son gérant et non à B______. Enfin, sous réserve d'un contrôle du respect des standards minimaux en vue de protéger le travailleur, B______ n'a aucun pouvoir concernant les contrats de travail conclus par les gérants. Ce point est confirmé en particulier par D______, dans sa réponse à l'appel. Par conséquent, la théorie de la transparence ne saurait trouver application dans le cas d'espèce, les trois entités susmentionnées étant indépendantes économiquement les unes des autres. Par ailleurs, la Chambre des prud'hommes ne saurait identifier en quoi B______, avec laquelle l'appelante n'a jamais, comme elle le reconnait elle-même, conclu de contrat, invoquerait la dualité juridique des entités de manière abusive. En effet, il est incontesté et incontestable que B______ ne s'est jamais engagée envers l'appelante à lui fournir quelque prestation que ce fût, soit directement, soit en cas de défaillance de ses employeurs. En particulier, la Chambre des prud'hommes ne saurait suivre le raisonnement de l'appelante selon laquelle B______ invoquerait abusivement la dualité juridique du fait de la résiliation avec effet immédiat du contrat de franchise. Une telle résiliation du contrat de franchise n'est en effet possible qu'en cas de justes motifs imputables au franchisé, soit l'employeur du travailleur. B______ n'est par conséquent pas responsable des prétentions des employés contre leur employeur, alors même que celui-ci agit en contravention avec le contrat de franchise, autorisant ainsi B______ à invoquer des justes motifs de résiliation du contrat de franchise.</w:t>
      </w:r>
    </w:p>
    <w:p>
      <w:r>
        <w:rPr>
          <w:b/>
        </w:rPr>
        <w:t>E. 2.3</w:t>
      </w:r>
    </w:p>
    <w:p>
      <w:r>
        <w:t>C'est ainsi à raison que le Tribunal des prud'hommes a nié la qualité pour défendre de B______. Or, conformément à la jurisprudence rappelée ci-dessus, une telle constatation ne doit pas amener à une déclaration d'irrecevabilité de la demande mais à un rejet de celle-ci. Dès lors, le chiffre 1 du jugement partiel sera annulé et la demande formée le</w:t>
      </w:r>
    </w:p>
    <w:p>
      <w:r>
        <w:rPr>
          <w:b/>
        </w:rPr>
        <w:t>E. 3</w:t>
      </w:r>
    </w:p>
    <w:p>
      <w:r>
        <w:t>Demeurant inférieure à 30'000 fr., la valeur litigieuse ne permet pas la perception d'un émolument de décision à teneur des art. 114 lit. c CPC, 15 al. 3 LaCC et 24 al. 2 LTPH. Conformément à l'art. 17 al. 2 LaCC, il ne sera pas alloué de dépens. * * * * *</w:t>
      </w:r>
    </w:p>
    <w:p>
      <w:r>
        <w:t>- 11/11 -</w:t>
      </w:r>
    </w:p>
    <w:p>
      <w:r>
        <w:t>C/26092/2013-3 PAR CES MOTIFS, La Chambre des prud'hommes, groupe 3 : A la forme : Déclare recevable l'appel interjeté par A______ le 16 mars 2015 contre le jugement JTPH/63/2015 rendu le 11 février 2015 par le Tribunal des prud'hommes dans la cause C/26092/2013-3. Au fond : Annule le chiffre 1 du dispositif dudit jugement. Rejette la demande formée le 3 juin 2014 par A______, en ce qu'elle est dirigée contre B______. Siégeant : Madame Nathalie LANDRY-BARTHE, présidente; Monsieur Guido AMBUHL, juge employeur, Madame Monique LENOIR, juge salariée; Madame Véronique BULUNDWE-LÉVY, greffière.</w:t>
      </w:r>
    </w:p>
    <w:p>
      <w:r>
        <w:t>La présidente : Nathalie LANDRY-BARTHE</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