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CAPH/15/2006 vom 23. Januar 2006</w:t>
      </w:r>
    </w:p>
    <w:p>
      <w:r>
        <w:t>GE Cour de justice, 2006-01-23, FR</w:t>
      </w:r>
    </w:p>
    <w:p>
      <w:r>
        <w:rPr>
          <w:b/>
        </w:rPr>
        <w:t xml:space="preserve">Quelle: </w:t>
      </w:r>
      <w:r>
        <w:t>https://mcp.opencaselaw.ch/entscheid/ge_gerichte_CAPH_15_2006</w:t>
      </w:r>
    </w:p>
    <w:p>
      <w:r>
        <w:t>FR: GE_GERICHTE CAPH/15/2006 du 23 janvier 2006</w:t>
      </w:r>
    </w:p>
    <w:p>
      <w:r>
        <w:t>IT: GE_GERICHTE CAPH/15/2006 del 23 gennaio 2006</w:t>
      </w:r>
    </w:p>
    <w:p>
      <w:pPr>
        <w:pStyle w:val="Heading2"/>
      </w:pPr>
      <w:r>
        <w:t>Regeste</w:t>
      </w:r>
    </w:p>
    <w:p>
      <w:r>
        <w:t>Résumé: Avertissement adressé à T en raison de ses absences répétées et vacances annoncées en dernière minute avec menace de licenciement immédiat. T incapable de travailler jusqu'au 4 janvier inclus. T se présente à son travail le 8 janvier, car il n'a pas fait attention à la date. Résiliation ordinaire. Altercation avec le chef de chantier le 16 janvier. T quitte son emploi avec effet immédiat. E en prend note. Le 19 janvier, T demande à être réintégré. Refus de E et confirmation du licenciement immédiat. Justes motifs admis. Les manquements constatés et le comportement de T., pris isolément, n'étaient pas suffisamment graves en soi pour permettre une résiliation immédiate, mais justifient, au vu de leur caractère répétitif et de l'avertissement explicite le licenciement immédiat.</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t>Il n'est pas contesté que les parties étaient liées par un contrat de travail au sens des art. 319 et ss CO et que la juridiction spéciale des Prud'hommes est compé- tente en l'espèce.</w:t>
      </w:r>
    </w:p>
    <w:p>
      <w:r>
        <w:rPr>
          <w:b/>
        </w:rPr>
        <w:t>E. 2</w:t>
      </w:r>
    </w:p>
    <w:p>
      <w:r>
        <w:t>Comme constaté par les premiers juges, les rapports des parties sont soumis à la Convention collective de travail des métiers du bâtiment, second oeuvre , édition 2001 (ci-après : CCT), et étendue par arrêté du 14 novembre 2001 du Conseil d’Etat à tout le territoire du canton de Genève.</w:t>
      </w:r>
    </w:p>
    <w:p>
      <w:r>
        <w:t>Cette convention collective a été notamment prolongée jusqu’au 31 décembre 2004 par des avenants des 27 novembre 2002 et 16 avril 2003.</w:t>
      </w:r>
    </w:p>
    <w:p>
      <w:r>
        <w:rPr>
          <w:b/>
        </w:rPr>
        <w:t>E. 3.1</w:t>
      </w:r>
    </w:p>
    <w:p>
      <w:r>
        <w:t>L’appelante principale conteste en premier lieu le décompte d’heures dues pour la période du 9 janvier au 16 janvier 2004. Selon elle, qui se fonde sur le décompte mensuel de salaire du mois de janvier, l’intimé principal n’a fait que 53 heures pendant cette période de six jours et non 54 heures comme retenu par les premiers juges. L’appelante ne remet en revanche pas en cause le jugement en tant qu’il l’a condamne à payer la rémunération correspondant au 8 janvier 2004.</w:t>
      </w:r>
    </w:p>
    <w:p>
      <w:r>
        <w:t>De son côté, l’intimé principal réclame en appel son salaire pour la période du 9 janvier au 3 février 2004 contestant par là implicitement son licenciement avec effet immédiat du 16 janvier 2004.</w:t>
      </w:r>
    </w:p>
    <w:p>
      <w:r>
        <w:t>Juridiction des prud’hommes</w:t>
      </w:r>
    </w:p>
    <w:p>
      <w:r>
        <w:t>Cause n° C/5157/2004 - 1</w:t>
      </w:r>
    </w:p>
    <w:p>
      <w:r>
        <w:rPr>
          <w:b/>
        </w:rPr>
        <w:t>E. 3.2</w:t>
      </w:r>
    </w:p>
    <w:p>
      <w:r>
        <w:t>Selon l’art. 337 CO, l’employeur et le travailleur peuvent résilier immédiate- ment le contrat en tout temps pour de justes motifs (al. 1). Sont notamment consi- dérés comme de justes motifs, toutes les circonstances qui, selon les règles de la bonne foi, ne permettent pas d’exiger de celui qui a donné le congé la continua- tion des rapports de travail (al. 2).</w:t>
      </w:r>
    </w:p>
    <w:p>
      <w:r>
        <w:t>Mesure exceptionnelle, la résiliation immédiate pour justes motifs doit être ad- mise de manière restrictive (ATF du 29.06.1999, SARB 2000 p. 923).</w:t>
      </w:r>
    </w:p>
    <w:p>
      <w:r>
        <w:t>Doivent être considérés comme de justes motifs les faits propres à détruire la con- fiance qu’impliquent dans leur essence les rapports de travail ou à l’ébranler de telle façon que la poursuite du travail ne peut plus être exigée et qu’il n’y a d’autre issue que la résiliation immédiate du contrat (ATF du 29.06.1999, SARB 2000 p. 923; ATF du 23.12.1998, JAR 1999 p. 271; ATF du 2.9.1993, SJ 1995 p. 806; ATF 116 II 142 c. 5c; ATF 112 II 41 c. 3a; ATF 108 II 444 c. 2).</w:t>
      </w:r>
    </w:p>
    <w:p>
      <w:r>
        <w:t>Les motifs d’une résiliation immédiate sont donnés lorsque les conditions essen- 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(ATF 111 II 245 c. 3) et le renvoi im- médiat constitue une « ultima ratio » par rapport à l’éventualité d’un congé ordi- naire, qui ne peut être admise que si la situation exclut de manière absolue la con- tinuation des rapports de travail jusqu’au terme ordinaire du contrat (CAPH du 4.05.1993, H. c/ S., cause No VII/187/92).</w:t>
      </w:r>
    </w:p>
    <w:p>
      <w:r>
        <w:t>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ATF du 21.10.1996, SJ 1997 p. 149; ATF 117 II 72 c. 3). Le comportement du travailleur doit être apprécié de manière globale même si les manquements pris séparément ne présentent pas cha- cun un caractère de gravité suffisant pour justifier une résiliation abrupte du con- trat de travail (CAPH du 30.03.1999, JAR 2000 p. 131). La fonction et les respon- sabilités du travailleur, la nature et la durée des rapports contractuels, le genre et la gravité des griefs articulés par l’employeur, la longueur du délai de congé ordi- naire sont autant de critères qui doivent être pris en considération (ATF 23.12.1998, JAR 1999 p. 271; ATF 111 II 245 c. 3; ATF 104 II 28 c. 1).</w:t>
      </w:r>
    </w:p>
    <w:p>
      <w:r>
        <w:t>Lorsque le manquement est moins grave, il peut néanmoins donner lieu à une rési- 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w:t>
      </w:r>
    </w:p>
    <w:p>
      <w:r>
        <w:t>Juridiction des prud’hommes</w:t>
      </w:r>
    </w:p>
    <w:p>
      <w:r>
        <w:t>Cause n° C/5157/2004 - 1</w:t>
      </w:r>
    </w:p>
    <w:p>
      <w:r>
        <w:rPr>
          <w:b/>
        </w:rPr>
        <w:t>E. 3.3</w:t>
      </w:r>
    </w:p>
    <w:p>
      <w:r>
        <w:t>Les premiers juges ont d’abord considéré que l’intimé principal avait adopté un comportement relativement irrespectueux à l’égard de son employeur en ne l’informant pas préalablement de ses absences, en ne se présentant pas à son tra- vail le premier jour qui suivait une période d’incapacité de travail de deux mois, arguant qu’il n’avait pas prêté attention à la date de reprise, et finalement en se disputant avec son chef de chantier et en le menaçant avant de quitter abruptement son poste de travail. S’agissant de l’appelante, les premiers juges ont aussi retenu qu’elle n’était pas restée inactive face aux manquements passés de l’intimé puis- qu’elle lui avait adressé un avertissement en date du 28 août 2003 qui contenait une menace de licenciement avec effet immédiat en cas de récidive.</w:t>
      </w:r>
    </w:p>
    <w:p>
      <w:r>
        <w:rPr>
          <w:b/>
        </w:rPr>
        <w:t>E. 3.4</w:t>
      </w:r>
    </w:p>
    <w:p>
      <w:r>
        <w:t>Les manquements constatés et le comportement de l’intimé principal établis par les témoignages et les pièces du dossier, qui, pris isolément, n’étaient pas suf- fisamment graves en soi pour permettre une résiliation immédiate, justifient, au vu de leur caractère répétitif et de l’avertissement explicite du 28 août 2003, le licen- ciement immédiat du 16 janvier 2004.</w:t>
      </w:r>
    </w:p>
    <w:p>
      <w:r>
        <w:t>Il en découle que la décision entreprise doit donc être confirmée sur ce point.</w:t>
      </w:r>
    </w:p>
    <w:p>
      <w:r>
        <w:rPr>
          <w:b/>
        </w:rPr>
        <w:t>E. 3.5</w:t>
      </w:r>
    </w:p>
    <w:p>
      <w:r>
        <w:t>L’appelante principale soutient, se fondant sur le décompte mensuel de sa- laire, que durant la période du 9 au 16 janvier 2004, l’intimé principal n’a effectué que 53 heures et non 54 heures comme retenu par les premiers juges qui ont mul- tiplié le nombre de jour retenu par le nombre d’heures prévues.</w:t>
      </w:r>
    </w:p>
    <w:p>
      <w:r>
        <w:t>Juridiction des prud’hommes</w:t>
      </w:r>
    </w:p>
    <w:p>
      <w:r>
        <w:t>Cause n° C/5157/2004 - 1</w:t>
      </w:r>
    </w:p>
    <w:p>
      <w:r>
        <w:rPr>
          <w:b/>
        </w:rPr>
        <w:t>E. 7</w:t>
      </w:r>
    </w:p>
    <w:p>
      <w:r>
        <w:t>* COUR D’APPEL *</w:t>
      </w:r>
    </w:p>
    <w:p>
      <w:r>
        <w:rPr>
          <w:b/>
        </w:rPr>
        <w:t>E. 8</w:t>
      </w:r>
    </w:p>
    <w:p>
      <w:r>
        <w:t>* COUR D’APPEL * sauf s'il ressort de l'attitude du débiteur que cette sommation serait sans effet (art. 108 ch. 1 CO; ATF non publié du 3.1.95 N. c/ S. cause n° 4C.327/94). L'avertisse- ment préalable doit être déclaré en termes clairs. La personne menacée du licen- ciement immédiat doit clairement comprendre, à travers l'avertissement, quels ris- ques elle encourt. Il est nécessaire d'indiquer distinctement la sanction à laquelle le destinataire s'expose en cas de persistance du comportement critiqué (Schnei- der, La résiliation immédiate du contrat de travail : les justes motifs, Journée 1993 du droit du travail et de la sécurité sociale, p. 56-57; CAPH du 4.7.95 en la cause no VI/402/94).</w:t>
      </w:r>
    </w:p>
    <w:p>
      <w:r>
        <w:t>Ce n’est pas l’avertissement en soi, fût-il assorti d’une menace de licenciement immédiat, qui justifie une telle mesure, mais bien le fait que le comportement im- puté au travailleur ne permet pas, selon les règles de la bonne foi, d’exiger de l’employeur la continuation des rapports de travail jusqu’à l’expiration du délai de congé (ATF 127 III 153, consid. 1 c).</w:t>
      </w:r>
    </w:p>
    <w:p>
      <w:r>
        <w:t>Le juge apprécie librement s'il existe de justes motifs (art. 337 al. 3 CO). Il appli- que les règles du droit et de l'équité (art. 4 CC). A cet effet, il prendra en considé- ration tous les éléments du cas particulier, notamment la position et la responsabi- lité du travailleur, le type et la durée des rapports contractuels, ainsi que la nature et l'importance des manquements (ATF 127 III 351 consid. 4a p. 354; 116 II 145 consid. 6a p. 150).</w:t>
      </w:r>
    </w:p>
    <w:p>
      <w:r>
        <w:rPr>
          <w:b/>
        </w:rPr>
        <w:t>E. 9</w:t>
      </w:r>
    </w:p>
    <w:p>
      <w:r>
        <w:t>* COUR D’APPEL *</w:t>
      </w:r>
    </w:p>
    <w:p>
      <w:r>
        <w:t>Bien que l’intimé principal conclut sur ce point à la confirmation du jugement, il ne conteste pas l’exactitude de son décompte mensuel de janvier 2004.</w:t>
      </w:r>
    </w:p>
    <w:p>
      <w:r>
        <w:t>Dans ces circonstances, la Cour retiendra que l’intimé principal a effectué 53 heu- res de travail au cours de la période du 9 au 16 janvier 2004 et non 54 heures et corrigera dans cette mesure le jugement du 1er septembre 2004.</w:t>
      </w:r>
    </w:p>
    <w:p>
      <w:r>
        <w:t>4. 4.1. L’appelante principale soutient en second lieu qu’elle n’est pas tenue de ver- ser le treizième salaire au motif que l’intimé principal a pris plus de vacances que celles auxquelles il avait droit sans avoir obtenu l’accord écrit de sa part prévu par l’art. 3.4.1 de la CCT. Devant les premiers juges, l’appelante principale avait soutenu que l’intimé principal n’avait pas droit au treizième salaire parce que celui-ci était inclu dans son salaire horaire.</w:t>
      </w:r>
    </w:p>
    <w:p>
      <w:r>
        <w:t>L’intimé principal réclame désormais le treizième salaire pour 2002 et 2003. De- vant les premiers juges, l’intimé principal avait renoncé au treizième salaire pour 2003 en indiquant qu’il s’était accordé des vacances supplémentaires durant cette année sans avoir obtenu préalablement l’accord écrit de son employeur au sens de l’art. 3.4.1 CCT.</w:t>
      </w:r>
    </w:p>
    <w:p>
      <w:r>
        <w:t>4.2. En premier lieu, la Cour relèvera que c’est à bon droit que le Tribunal des prud’hommes a considéré que la clause contractuelle incluant le treizième salaire était équivoque en ce qu’elle empêchait l’intimé principal de connaître le montant exact de son salaire brut.</w:t>
      </w:r>
    </w:p>
    <w:p>
      <w:r>
        <w:t>En appel, l’appelante principale a indiqué lors de la comparution personnelle de- vant la Cour qu’elle n’avait jamais confirmé par écrit des dates de vacances de- mandées par ses collaborateurs. Elle a aussi indiqué qu’aucun collaborateur n’avait jamais demandé des vacances par écrit.</w:t>
      </w:r>
    </w:p>
    <w:p>
      <w:r>
        <w:t>De son côté, l’intimé principal a expliqué qu’il n’y avait jamais eu de courrier de l’entreprise qui se serait opposé à ses vacances supplémentaires. Il a aussi expli- qué, sans être démenti par l’appelante principale, qu’un accord oral lui avait été donné. Il a enfin souligné que ses congés supplémentaires n’étaient pas payés.</w:t>
      </w:r>
    </w:p>
    <w:p>
      <w:r>
        <w:t>4.3. Dans ces circonstances, la Cour considère qu’il n’y a pas lieu de priver l’inti- mé principal de son droit au treizième salaire pour l’année 2002, l’appelante ayant renoncé, par son comportement, à l’exigence de la forme écrite prévue par l’ar- ticle 3.4.1 CCT pour l’obtention de vacances supplémentaires non payées.</w:t>
      </w:r>
    </w:p>
    <w:p>
      <w:r>
        <w:t>Le jugement du Tribunal des prud’hommes sera donc également confirmé sur ce point.</w:t>
      </w:r>
    </w:p>
    <w:p>
      <w:r>
        <w:t>4.4. Dans son appel incident, T____________ réclame désormais un treizième sa-</w:t>
      </w:r>
    </w:p>
    <w:p>
      <w:r>
        <w:t>Juridiction des prud’hommes</w:t>
      </w:r>
    </w:p>
    <w:p>
      <w:r>
        <w:t>Cause n° C/5157/2004 - 1</w:t>
      </w:r>
    </w:p>
    <w:p>
      <w:r>
        <w:rPr>
          <w:b/>
        </w:rPr>
        <w:t>E. 10</w:t>
      </w:r>
    </w:p>
    <w:p>
      <w:r>
        <w:t>* COUR D’APPEL * laire pour l’année 2003. Devant les premiers juges, l’appelant incident avait expli- qué qu’il renonçait à réclamer un treizième salaire, dès lors qu’il avait pris des va- cances supplémentaires en cours d’année sans avoir obtenu l’accord écrit de l’employeur, conformément à l’art. 3.4.1 de la CCT.</w:t>
      </w:r>
    </w:p>
    <w:p>
      <w:r>
        <w:t>4.5. En vertu du principe de l’immutabilité du litige, l’article 312 de la Loi de pro- cédure civile (ci-après LPC), applicable à titre supplétif à la procédure prud’ho- male (art. 11 LJP), prévoit que le juge d’appel ne peut statuer sur aucun chef de demande qui n’a pas été soumis aux premiers juges. Cet article pose le principe du double degré de juridiction qui veut que le litige soumis au juge d’appel soit identique à celui dont le premier juge avait été saisi : mêmes caractéristiques de personnes, de conclusions, d’allégués de fait et de preuves (CAPH du 2 juin 1997 en la cause X/806/96; Bertossa/Gaillard/Guyet/ Schmidt, Commentaire de la Loi de procédure civile genevoise ad art. 312).</w:t>
      </w:r>
    </w:p>
    <w:p>
      <w:r>
        <w:t>4.6 Or en l’espèce, en réclamant le paiement du treizième salaire pour 2003 en ap- pel, alors qu’il y avait explicitement renoncé en première instance, l’appelant inci- dent a formellement amplifié sa demande, en violation des principes rappelés ci- dessus. Peu importe à cet égard que cette amplification soit la conséquence d’une erreur de calcul. En effet, le juge est lié par les conclusions des parties qui forment le cadre des débats. (Bertossa/Gaillard/Guyet/Schmidt, op. cit., n° 8 ad art. 7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