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CAPH/158/2020 vom 15. Januar 2020</w:t>
      </w:r>
    </w:p>
    <w:p>
      <w:r>
        <w:t>GE Cour de justice, 2020-01-15, FR</w:t>
      </w:r>
    </w:p>
    <w:p>
      <w:r>
        <w:rPr>
          <w:b/>
        </w:rPr>
        <w:t xml:space="preserve">Quelle: </w:t>
      </w:r>
      <w:r>
        <w:t>https://mcp.opencaselaw.ch/entscheid/ge_gerichte_CAPH_158_2020</w:t>
      </w:r>
    </w:p>
    <w:p>
      <w:r>
        <w:t>FR: GE_GERICHTE CAPH/158/2020 du 15 janvier 2020</w:t>
      </w:r>
    </w:p>
    <w:p>
      <w:r>
        <w:t>IT: GE_GERICHTE CAPH/158/2020 del 15 gennaio 2020</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w:t>
      </w:r>
    </w:p>
    <w:p>
      <w:r>
        <w:t>- 10/13 -</w:t>
      </w:r>
    </w:p>
    <w:p>
      <w:r>
        <w:t>C/8200/2018-1 Ecrit et motivé, l'appel doit être introduit auprès de l'instance d'appel dans les 30 jours à compter de la notification de la décision motivée (art. 311 al. 1 CPC). Le présent appel, qui respecte les dispositions précitées, est recevable.</w:t>
      </w:r>
    </w:p>
    <w:p>
      <w:r>
        <w:rPr>
          <w:b/>
        </w:rPr>
        <w:t>E. 1.2</w:t>
      </w:r>
    </w:p>
    <w:p>
      <w:r>
        <w:t>La valeur litigieuse étant inférieure à 30'000 fr. (art. 91 CPC), la procédure simplifiée est applicable (art. 243 al. 1 CPC) et la présente cause est soumise aux maximes inquisitoire (art. 247 al. 2 let. b ch. 2 CPC) et de disposition (art. 58 al. 1 CPC).</w:t>
      </w:r>
    </w:p>
    <w:p>
      <w:r>
        <w:rPr>
          <w:b/>
        </w:rPr>
        <w:t>E. 1.3</w:t>
      </w:r>
    </w:p>
    <w:p>
      <w:r>
        <w:t>L'appel peut être formé pour violation du droit et constatation inexacte des faits (art. 310 let. a et b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conteste le jugement en tant qu'il a considéré que le licenciement immédiat de l'intimé n'était pas justifié. Elle invoque une violation des art. 8 CC et 337 CO notamment au motif que le Tribunal ne pouvait retenir qu'elle n'avait pas dûment averti l'intimé à la suite de ses nombreux retards.</w:t>
      </w:r>
    </w:p>
    <w:p>
      <w:r>
        <w:rPr>
          <w:b/>
        </w:rPr>
        <w:t>E. 2.1</w:t>
      </w:r>
    </w:p>
    <w:p>
      <w:r>
        <w:t>L'art. 337 CO autorise l'employeur comme le travailleur à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Savoir si le comportement incriminé atteint la gravité nécessaire dépend des circonstances du cas concret (ATF 142 III 579 consid. 4.2 et les arrêts cités). Il est donc difficile d'établir un catalogue de comportements susceptibles de justifier un congé immédiat (arrêts du Tribunal fédéral 4A_287/2017 précité, ibid; 4A_397/2014 du 17 décembre 2014 consid. 3.1 in fine). Selon la jurisprudence, la résiliation immédiate pour justes motifs est une mesure exceptionnelle qui doit être admise de manière restrictive (ATF 137 III 303 consid. 2.1.1 p. 304).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130 III 28 consid. 4.1; 129 III 380 consid. 2.2). L'élément en cause doit être objectivement propre à détruire le rapport de confiance essentiel au contrat de travail ou, du moins, à l'atteindre si profondément que la continuation des rapports de travail ne peut raisonnablement pas être exigée; de surcroît, il doit</w:t>
      </w:r>
    </w:p>
    <w:p>
      <w:r>
        <w:t>- 11/13 -</w:t>
      </w:r>
    </w:p>
    <w:p>
      <w:r>
        <w:t>C/8200/2018-1 avoir effectivement abouti à un tel résultat (ATF 142 III 579 consid. 4.2 et les arrêts cités). En cas de manquement moins grave, celui-ci ne peut entraîner une résiliation immédiate que s'il a été répété malgré un avertissement (ATF 142 III 579 consid. 4.2; 130 III 28 consid. 4.1; 127 III 153 consid. 1; 124 III 25 consid. 3). L'avertissement ne doit pas nécessairement comporter dans chaque cas une menace expresse de résiliation immédiate.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 (arrêts du Tribunal fédéral 4C_10/2007 du 30 avril 2007 consid. 2.1, in JAR 2008 188; 4C_364/2005 du 12 janvier 2006 consid. 2.3, in RSJ 2006 214). Ceci dit, l'on ne saurait poser des règles rigides sur le nombre et le contenu des avertissements dont la méconnaissance, par le travailleur, est susceptible de justifier un licenciement immédiat. Le non-respect des horaires ou des retards répétés ne justifient une résiliation qu'en cas de réitération à la suite d'un avertissement. Celui-ci doit être libellé de manière explicite; l'employé doit clairement comprendre, au travers de la mise en garde, que la persistance dans son comportement se traduira par son licenciement immédiat. Suivant le cas, un second avertissement peut ou non être nécessaire lorsque, après un premier, le travailleur enfreint une autre de ses obligations (arrêt du Tribunal fédéral 4C_294/2005, du 21 décembre 2005, c. 3; GLOOR, in: Commentaire du contrat de travail, 2013, n. 34 ad art. 337 CO). Il appartient à la partie qui se prévaut de justes motifs de résiliation immédiate d'en établir l'existence (art. 8 CC).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w:t>
      </w:r>
    </w:p>
    <w:p>
      <w:r>
        <w:rPr>
          <w:b/>
        </w:rPr>
        <w:t>E. 2.2</w:t>
      </w:r>
    </w:p>
    <w:p>
      <w:r>
        <w:t>En l'espèce, l'appelante a allégué que l'intimé arrivait quotidiennement avec dix ou quinze minutes de retard et l'avoir averti à la suite de ses retards. Il paraît toutefois peu crédible, si l'intimé arrivait en retard avec la fréquence indiquée, que l'appelante ait attendu le 31 octobre 2017 pour le licencier alors qu'elle l'employait depuis près d'un an et demi. Cela étant, en tout état de cause, l'appelante n'a pas été en mesure de produire un quelconque avertissement écrit permettant d'attester du fait qu'elle avait prévenu</w:t>
      </w:r>
    </w:p>
    <w:p>
      <w:r>
        <w:t>- 12/13 -</w:t>
      </w:r>
    </w:p>
    <w:p>
      <w:r>
        <w:t>C/8200/2018-1 l'intimé que son comportement l'exposait à un licenciement immédiat. A cet égard, le courrier de l'appelante du 31 octobre 2017, qui mentionne de prétendus avertissements préalables, ne constitue qu'une allégation de sa part, qui n'est cependant pas corroborée par d'autres éléments figurant à la procédure permettant de retenir l'existence de ceux-ci. Le témoins F______ a attesté du fait que l'intimé arrivait en retard, mais il a indiqué que lorsque cela se produisait, il ne lui faisait pas de remarques, mais en informait E______. Si un avertissement peut être donné oralement également, aucun témoin n'a toutefois attesté du fait qu'un ou plusieurs avertissements oraux avaient été donnés à l'intimé. L'intimé, qui a admis avoir été en retard à trois reprises uniquement, hormis la fois où sa voiture avait eu une crevaison, a pour sa part exposé avoir reçu deux avertissements oraux avant son licenciement du 28 octobre 2017, sans toutefois en préciser la date et surtout sans indiquer que ceux-ci comportaient une menace de licenciement immédiat, ne serait-ce qu'implicite. Enfin, il ne peut être considéré que la recourante était dispensée d'avertir l'intimé au motif qu'un avertissement aurait été sans effet, aucun élément permettant de retenir que tel serait le cas. Il n'est donc, au vu de ce qui précède, pas établi qu'à la suite de retards de l'intimé, l'appelante aurait donné à celui-ci un ou plusieurs avertissements préalables lui permettant de comprendre que la persistance de ses arrivées tardives entraînerait son congé immédiat. Pour le surplus, le retard du 28 octobre 2017, fût-il conséquent, ne suffit pas, à lui seul, à justifier le licenciement avec effet immédiat de l'intimé. Le préjudice que l'appelante allègue, sans le chiffrer, avoir subi à cette occasion n'est par ailleurs aucunement établi. Dans ces circonstances, c'est sans violer le droit que le Tribunal a considéré que le licenciement avec effet immédiat de l'intimé du 31 octobre 2017 était injustifié.</w:t>
      </w:r>
    </w:p>
    <w:p>
      <w:r>
        <w:rPr>
          <w:b/>
        </w:rPr>
        <w:t>E. 2.3</w:t>
      </w:r>
    </w:p>
    <w:p>
      <w:r>
        <w:t>Pour le surplus, l'appelante ne conteste pas de manière motivée, en tant que tels, les montants qu'elle a été condamnée à verser à l'intimé ou à la partie intervenante à la suite du licenciement de l'intimé.</w:t>
      </w:r>
    </w:p>
    <w:p>
      <w:r>
        <w:rPr>
          <w:b/>
        </w:rPr>
        <w:t>E. 2.4</w:t>
      </w:r>
    </w:p>
    <w:p>
      <w:r>
        <w:t>Au vu de ce qui précède, le jugement attaqué sera confirmé.</w:t>
      </w:r>
    </w:p>
    <w:p>
      <w:r>
        <w:rPr>
          <w:b/>
        </w:rPr>
        <w:t>E. 3</w:t>
      </w:r>
    </w:p>
    <w:p>
      <w:r>
        <w:t>Le recours est exempt de frais judiciaire compte tenu de la valeur litigieuse (art. 114 let. c CPC), et ne donne pas lieu à l'allocation de dépens (art. 22 al. 2 LaCC). * * * * *</w:t>
      </w:r>
    </w:p>
    <w:p>
      <w:r>
        <w:t>- 13/13 -</w:t>
      </w:r>
    </w:p>
    <w:p>
      <w:r>
        <w:t>C/8200/2018-1 PAR CES MOTIFS, La Chambre des prud'hommes, groupe 1 : A la forme : Déclare recevable l'appel interjeté par A______ SÀRL contre le jugement JTPH/14/2020 rendu le 15 janvier 2020 par le Tribunal des prud'hommes dans la cause C/24145/2016. Au fond : Confirme ce jugement. Déboute les parties de toutes autres conclusions. Sur les frais: Dit que la procédure est gratuite. Dit qu'il n'est pas alloué de dépens. Siégeant : Monsieur Laurent RIEBEN, président; Monsieur Pierre-Alain L'HÔTE, juge employeur; Monsieur Roger EMMENEGGER,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