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CAPH/157/2019 vom 26. September 2019</w:t>
      </w:r>
    </w:p>
    <w:p>
      <w:r>
        <w:t>GE Cour de justice, 2019-09-26, FR</w:t>
      </w:r>
    </w:p>
    <w:p>
      <w:r>
        <w:rPr>
          <w:b/>
        </w:rPr>
        <w:t xml:space="preserve">Quelle: </w:t>
      </w:r>
      <w:r>
        <w:t>https://mcp.opencaselaw.ch/entscheid/ge_gerichte_CAPH_157_2019</w:t>
      </w:r>
    </w:p>
    <w:p>
      <w:r>
        <w:t>FR: GE_GERICHTE CAPH/157/2019 du 26 septembre 2019</w:t>
      </w:r>
    </w:p>
    <w:p>
      <w:r>
        <w:t>IT: GE_GERICHTE CAPH/157/2019 del 26 settembre 2019</w:t>
      </w:r>
    </w:p>
    <w:p>
      <w:pPr>
        <w:pStyle w:val="Heading2"/>
      </w:pPr>
      <w:r>
        <w:t>Erwägungen</w:t>
      </w:r>
    </w:p>
    <w:p>
      <w:r>
        <w:rPr>
          <w:b/>
        </w:rPr>
        <w:t>E. 1</w:t>
      </w:r>
    </w:p>
    <w:p>
      <w:r>
        <w:t>Les décisions relatives aux avances de frais peuvent faire l'objet d'un recours (art. 103 CPC). Elles doivent être qualifiées d'ordonnances d'instruction, soumises au délai de recours de dix jours de l'art. 321 al. 2 CPC (TAPPY, Commentaire romand, n. 11, ad art. 103 CPC). En l'espèce, le recours a été formé dans le délai et selon la forme prévus par la loi de sorte qu'il est recevable.</w:t>
      </w:r>
    </w:p>
    <w:p>
      <w:r>
        <w:rPr>
          <w:b/>
        </w:rPr>
        <w:t>E. 2</w:t>
      </w:r>
    </w:p>
    <w:p>
      <w:r>
        <w:t>La recourante fait valoir que le montant de 5'000 fr. fixé par le Tribunal pour l'avance de frais est trop élevé et constitue une violation de la loi. Elle propose que l'avance soit réduite à 500 fr. 2.1.1 Selon l'art. 98 CPC, le tribunal peut exiger du demandeur une avance à concurrence de la totalité des frais judiciaires présumés.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En matière de litiges de la compétence du Tribunal des prud'hommes, les émoluments sont réduits de moitié par rapport au tarif ordinaire (art. 68 RTFMC). L'art. 69 RTFMC, prévoit que le Tribunal des prud'hommes peut prélever un émolument forfaitaire de décision de 10'000 fr. lorsque la valeur litigieuse est supérieure à 1'000'000 fr. Lorsque la procédure sommaire est applicable, l'émolument forfaitaire de décision est fixé entre 150 fr. et 10'000 fr. (art. 26 RTFMC).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w:t>
      </w:r>
    </w:p>
    <w:p>
      <w:r>
        <w:t>- 4/5 -</w:t>
      </w:r>
    </w:p>
    <w:p>
      <w:r>
        <w:t>C/14647/2019-5 pertinents (ATF 139 III 334 consid. 3.2.4). Le taux de l'émolument ne doit pas, en particulier, empêcher ou rendre difficile à l'excès l'accès à la justice (arrêt du Tribunal fédéral 2C_513/2012 du 11 décembre 2012 consid. 3.1).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(ACJC/1547/2018 du 8 novembre 2018; ACJC/278/2014 du 25 février 2014; ACJC/208/2014 du 13 février 2014). 2.1.2 Le tribunal impartit un délai pour la fourniture des avances de frais (art. 101 al. 1 CPC). Si celles-ci ne sont pas fournies à l'échéance d'un délai supplémentaire, le tribunal n'entre pas en matière sur la requête (art. 101 al. 3 CPC).</w:t>
      </w:r>
    </w:p>
    <w:p>
      <w:r>
        <w:rPr>
          <w:b/>
        </w:rPr>
        <w:t>E. 2.2</w:t>
      </w:r>
    </w:p>
    <w:p>
      <w:r>
        <w:t>En l'espèce, la recourante admet que la valeur litigieuse correspond au montant de 1'200'000 fr. qu'elle a elle-même indiqué au Tribunal. L'avance de frais litigieuse s'inscrit dans le cadre d'une cause de mesures provisionnelles soumise à la procédure sommaire (art. 248 let. d CPC). Au regard de la valeur litigieuse et de la procédure applicable, l'avance pouvait être fixée à 10'000 fr. au maximum (art. 26 et 68 RTFMC). En fixant l'avance de frais à 5'000 fr., soit la moitié du maximum légal, le Tribunal n'a ainsi pas outrepassé son pouvoir d'appréciation. Le recours est par conséquent infondé. La cause sera renvoyée au Tribunal pour qu'il impartisse un nouveau délai à la recourante pour le paiement de l'avance de frais. Si l'avance n'est pas fournie, un délai supplémentaire devra lui être imparti pour ledit paiement, conformément à l'art. 101 al. 3 CPC.</w:t>
      </w:r>
    </w:p>
    <w:p>
      <w:r>
        <w:rPr>
          <w:b/>
        </w:rPr>
        <w:t>E. 3</w:t>
      </w:r>
    </w:p>
    <w:p>
      <w:r>
        <w:t>La procédure de recours est gratuite (art. 71 RTFMC). * * * * *</w:t>
      </w:r>
    </w:p>
    <w:p>
      <w:r>
        <w:t>- 5/5 -</w:t>
      </w:r>
    </w:p>
    <w:p>
      <w:r>
        <w:t>C/14647/2019-5 PAR CES MOTIFS, La Chambre des prud'hommes, groupe 5 : A la forme : Déclare recevable le recours formé par A______ contre la décision du Tribunal des Prud'hommes TRPH/67/2019 du 9 juillet 2019. Au fond : Rejette ledit recours. Renvoie la cause au Tribunal pour qu'il procède au sens des considérants Dit que la procédure est gratuite. Déboute les parties de toutes autres conclusions. Siégeant : Madame Fabienne GEISINGER-MARIETHOZ, présidente; Monsieur Michael RUDERMANN, juge employeur; Madame Shirin HATAM,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