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CAPH/155/2020 vom 13. August 2020</w:t>
      </w:r>
    </w:p>
    <w:p>
      <w:r>
        <w:t>GE Cour de justice, 2020-08-13, FR</w:t>
      </w:r>
    </w:p>
    <w:p>
      <w:r>
        <w:rPr>
          <w:b/>
        </w:rPr>
        <w:t xml:space="preserve">Quelle: </w:t>
      </w:r>
      <w:r>
        <w:t>https://mcp.opencaselaw.ch/entscheid/ge_gerichte_CAPH_155_2020</w:t>
      </w:r>
    </w:p>
    <w:p>
      <w:r>
        <w:t>FR: GE_GERICHTE CAPH/155/2020 du 13 août 2020</w:t>
      </w:r>
    </w:p>
    <w:p>
      <w:r>
        <w:t>IT: GE_GERICHTE CAPH/155/2020 del 13 agosto 2020</w:t>
      </w:r>
    </w:p>
    <w:p>
      <w:pPr>
        <w:pStyle w:val="Heading2"/>
      </w:pPr>
      <w:r>
        <w:t>Erwägungen</w:t>
      </w:r>
    </w:p>
    <w:p>
      <w:r>
        <w:rPr>
          <w:b/>
        </w:rPr>
        <w:t>E. 1.1</w:t>
      </w:r>
    </w:p>
    <w:p>
      <w:r>
        <w:t>Formé dans les délai et forme prescrits par la loi, auprès de l'autorité compétente (art. 124 let. a LOJ) par une partie qui y a intérêt (art. 59 al. 2 let. a CPC) dans le cadre d'un litige dont la valeur litigieuse est supérieure à 10'000 fr. (art. 308 al. 2 CPC), l'appel est recevable (art. 130, 131, 143 al. 1 et 311 al. 1 CPC).</w:t>
      </w:r>
    </w:p>
    <w:p>
      <w:r>
        <w:rPr>
          <w:b/>
        </w:rPr>
        <w:t>E. 1.2</w:t>
      </w:r>
    </w:p>
    <w:p>
      <w:r>
        <w:t>L'appel peut être formé pour violation du droit et constatation inexacte des faits (art. 310 CPC).</w:t>
      </w:r>
    </w:p>
    <w:p>
      <w:r>
        <w:rPr>
          <w:b/>
        </w:rPr>
        <w:t>E. 1.3</w:t>
      </w:r>
    </w:p>
    <w:p>
      <w:r>
        <w:t>La valeur litigieuse étant inférieure à 30'000 fr., les dispositions de la procédure simplifiée s'appliquent (art. 243 al. 1 CPC), soit en particulier la maxime inquisitoriale sociale (art. 247 al. 2 let. b ch. 1 CPC). Cette maxime a pour but de protéger la partie faible au contrat, de garantir l'égalité entre les parties au procès et d'accélérer la procédure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(ATF 141 III 569 consid. 2.3.1).</w:t>
      </w:r>
    </w:p>
    <w:p>
      <w:r>
        <w:rPr>
          <w:b/>
        </w:rPr>
        <w:t>E. 2</w:t>
      </w:r>
    </w:p>
    <w:p>
      <w:r>
        <w:t>Les parties forment des allégués nouveaux et l'appelant produit des pièces nouvelles.</w:t>
      </w:r>
    </w:p>
    <w:p>
      <w:r>
        <w:rPr>
          <w:b/>
        </w:rPr>
        <w:t>E. 2.1</w:t>
      </w:r>
    </w:p>
    <w:p>
      <w:r>
        <w:t>Aux termes de l'art. 317 al. 1 CPC - qui s'applique aussi aux causes régies par la maxime inquisitoire sociale (ATF 144 III 349 consid. 4.2.1) -, les faits et moyens de preuve nouveaux ne sont pris en compte que s'ils sont invoqués ou produits sans retard (let. a) et s'ils ne pouvaient pas être invoqués ou produits devant la première instance bien que la partie qui s'en prévaut ait fait preuve de la diligence requise (let. b). S'agissant des vrais nova, soit les faits et moyens de preuve postérieurs à la fin des débats principaux de première instance (cf. art. 229 CPC), ils sont en principe toujours admissibles en appel, pourvu qu'ils soient invoqués sans retard dès leur découverte. Quant aux pseudo nova, soit les faits et moyens de preuve qui existaient déjà au début des délibérations de première instance, leur admissibilité est largement limitée en appel: ils sont irrecevables lorsque le plaideur aurait déjà pu les introduire dans la procédure de première instance s'il avait été diligent (ATF 143 III 42 consid. 4.1; arrêt du Tribunal fédéral 4A_508/2016 du 16 juin 2017 consid. 4.1). Le plaideur qui fait valoir des pseudo nova devant l'instance d'appel doit exposer précisément les raisons pour lesquelles il ne les a pas invoqués en première</w:t>
      </w:r>
    </w:p>
    <w:p>
      <w:r>
        <w:t>- 7/11 -</w:t>
      </w:r>
    </w:p>
    <w:p>
      <w:r>
        <w:t>C/30283/2018-3 instance (ATF 144 III 349 consid. 4.2.1). Le CPC part du principe que le procès doit se conduire entièrement devant les juges de première instance. A ce stade, chaque partie doit exposer l'état de fait de manière soigneuse et complète et amener tous les éléments propres à établir les faits jugés importants. La procédure d'appel n'a pas pour but de compléter le procès de première instance en permettant aux parties de réparer leurs propres carences, mais de contrôler et corriger le jugement de première instance à la lumière des griefs formulés à son encontre (ATF 142 III 413 consid. 2.2.2; arrêts du Tribunal fédéral 4A_303/2018 du 17 octobre 2018 consid. 3.2; 4A_334/2012 du 16 octobre 2012 consid. 3.1).</w:t>
      </w:r>
    </w:p>
    <w:p>
      <w:r>
        <w:rPr>
          <w:b/>
        </w:rPr>
        <w:t>E. 2.2</w:t>
      </w:r>
    </w:p>
    <w:p>
      <w:r>
        <w:t>En l'espèce, les allégués nouveaux des parties figurant dans l'appel, dans la réponse et dans la réplique sont irrecevables, puisqu'ils auraient pu être formés en première instance. Il en va de même des pièces nouvelles que l'appelant a produites avec l'appel et avec la réplique. La pièce déposée par l'intimée avec sa duplique est aussi irrecevable, dans la mesure où elle n'a pas été produite sans retard, soit avec la réponse; cette pièce n'est de toute façon pas déterminante pour la solution du litige (cf. ci-dessous consid. 4).</w:t>
      </w:r>
    </w:p>
    <w:p>
      <w:r>
        <w:rPr>
          <w:b/>
        </w:rPr>
        <w:t>E. 3</w:t>
      </w:r>
    </w:p>
    <w:p>
      <w:r>
        <w:t>Le Tribunal a considéré qu'il n'était pas compétent à raison du lieu pour connaître de la demande de l'appelant - dans la mesure où l'intimée était sise à Zurich et où l'appelant n'avait pas exercé son activité dans le canton de Genève - et qu'il n'était pas nécessaire d'examiner si les parties avaient été liées par un contrat de travail. L'appelant fait grief au Tribunal d'avoir nié à tort la compétence à raison du lieu. L'intimée persiste à contester ladite compétence, ainsi que l'existence d'un contrat de travail.</w:t>
      </w:r>
    </w:p>
    <w:p>
      <w:r>
        <w:rPr>
          <w:b/>
        </w:rPr>
        <w:t>E. 3.1.1</w:t>
      </w:r>
    </w:p>
    <w:p>
      <w:r>
        <w:t>En vertu de l'art. 60 CPC, le tribunal examine d'office si les conditions de recevabilité d'une demande sont remplies, notamment s'il est compétent à raison de la matière et du lieu (art. 59 al. 2 let. b CPC). On ne peut pas déduire de l'obligation imposée au tribunal par cette disposition qu'il doive rechercher lui-même les faits justifiant la recevabilité de la demande. L'examen d'office ne dispense pas les parties de collaborer à l'établissement des faits, en alléguant ceux qui sont pertinents et en indiquant les moyens de preuve propres à les établir (arrêt du Tribunal fédéral 4A_510/2019 du 29 octobre 2019 consid. 4.1 et les références citées).</w:t>
      </w:r>
    </w:p>
    <w:p>
      <w:r>
        <w:rPr>
          <w:b/>
        </w:rPr>
        <w:t>E. 3.1.2</w:t>
      </w:r>
    </w:p>
    <w:p>
      <w:r>
        <w:t>Lorsqu'il statue d'entrée de cause sur sa compétence, le juge doit tout d'abord déterminer si le ou les faits pertinents de la disposition légale applicable sont des faits simples ou des faits doublement pertinents; les exigences de preuve, à ce</w:t>
      </w:r>
    </w:p>
    <w:p>
      <w:r>
        <w:t>- 8/11 -</w:t>
      </w:r>
    </w:p>
    <w:p>
      <w:r>
        <w:t>C/30283/2018-3 stade de la procédure (décision d'entrée en matière), sont en effet différentes pour les uns et les autres (ATF 141 III 294 consid. 5.1). Les faits sont simples lorsqu'ils ne sont déterminants que pour la compétence. Ils doivent être prouvés d'entrée de cause, lorsque la partie défenderesse soulève l'exception de déclinatoire en contestant les allégués du demandeur (ATF 141 III 294, précité, consid. 5.1). Sont des faits simples les éléments de localisation, à savoir le domicile, le siège du défendeur et le lieu de l'activité professionnelle habituelle (ATF 137 III 32 consid. 2.3 in fine). Les faits sont doublement pertinents ou de double pertinence lorsqu'ils sont déterminants tant pour la compétence du tribunal que pour le bien-fondé de l'action. A titre d'exemples, on peut citer la commission d'un acte illicite ou l'existence d'un contrat de travail (ATF 141 III 294, précité, consid. 5.2; 137 III 32 consid. 2.3 in fine). Au stade de l'examen et de la décision sur la compétence, qui ont lieu d'entrée de cause, les faits doublement pertinents n'ont pas à être prouvés; le juge examine sa compétence sur la base des allégués, moyens et conclusions du demandeur, sans tenir compte des objections de la partie défenderesse. L'administration des preuves sur les faits doublement pertinents est renvoyée à la phase du procès au cours de laquelle est examiné le bien-fondé de la prétention au fond. Si, à ce stade ultérieur, le tribunal se rend compte que sa compétence n'est en réalité pas donnée, il ne peut rendre un nouveau jugement sur sa compétence, mais doit alors rejeter la demande par un jugement au fond, revêtu de l'autorité de chose jugée (ATF 141 III 294, précité, consid. 5.2; arrêt du Tribunal fédéral 4A_75/2018 du 15 novembre 2018 consid. 3.2.1.1). Cette théorie de la double pertinence ne dispense pas le tribunal d'examiner d'entrée de cause si les faits doublement pertinents allégués par le demandeur - censés établis - sont concluants et permettent juridiquement de fonder sa compétence (ATF 141 III 294, précité, consid. 5.2; arrêt du Tribunal fédéral 4A_573/2015 du 3 mai 2016 consid. 5.2.2). S'il se pose une question délicate de délimitation (par exemple s'il est possible, sur la base des éléments allégués, de désigner aussi bien un contrat de travail qu'un autre contrat), elle devra être tranchée lors de l'examen du bien-fondé de la prétention au fond, en même temps que celle de savoir si un contrat a réellement été passé (ATF 137 III 32, précité consid. 2.4.2; arrêts du Tribunal fédéral 4A_510/2019, précité, consid. 2; 4A_573/2015, précité, consid. 5.2.2; 4A_73/2015 du 26 juin 2015 consid. 4.2). Il est fait exception à l'application de la théorie de la double pertinence en cas d'abus de droit de la part du demandeur, par exemple lorsque la demande est présentée sous une forme destinée à en déguiser la nature véritable ou lorsque les allégués sont manifestement faux. (ATF 141 III 294, précité, consid. 5.3; ATF 136 III 486 consid. 4).</w:t>
      </w:r>
    </w:p>
    <w:p>
      <w:r>
        <w:t>- 9/11 -</w:t>
      </w:r>
    </w:p>
    <w:p>
      <w:r>
        <w:t>C/30283/2018-3</w:t>
      </w:r>
    </w:p>
    <w:p>
      <w:r>
        <w:rPr>
          <w:b/>
        </w:rPr>
        <w:t>E. 3.1.3</w:t>
      </w:r>
    </w:p>
    <w:p>
      <w:r>
        <w:t>Le litige comporte un élément d'extranéité compte tenu du domicile de l'appelant en France. En principe, la compétence des autorités judiciaires suisses est régie par la Loi fédérale sur le droit international privé 18 décembre 1987 (ci-après : LDIP). Celle- ci réserve toutefois l’application des traités internationaux (art. 1 al. 2 LDIP) parmi lesquels figure la Convention concernant la compétence judiciaire, la reconnaissance et l’exécution des décisions en matière civile et commerciale (Convention de Lugano), dans sa version entrée en vigueur au 1er janvier 2011 (RS 0.275.12; ci-après : CL).</w:t>
      </w:r>
    </w:p>
    <w:p>
      <w:r>
        <w:t>Selon l’article 19 CL, un employeur ayant son domicile sur le territoire d’un Etat lié par la CL peut être attrait devant les tribunaux de l’Etat où il a son domicile. Cette disposition ne règle toutefois que la compétence internationale et non pas la compétence ratione loci (interne) qui est régie par le droit national de l’Etat de domicile de l'employeur (MEYER/STOJILIKOVIC, in Basler Kommentar, Lugano- Übereinkommen, 2011, n° 7 ad art. 19 CL).</w:t>
      </w:r>
    </w:p>
    <w:p>
      <w:r>
        <w:t>En Suisse, la compétence ratione loci interne est ainsi régie par l'art. 34 CPC (et non pas par l'art. 115 LDIP; MEYER/STOJILIKOVIC, op. cit., n° 32 et 34 ad art. 19 CL).</w:t>
      </w:r>
    </w:p>
    <w:p>
      <w:r>
        <w:t>A teneur de l'art. 34 al. 1 CPC, les actions relevant du droit du travail peuvent être portées devant le tribunal du domicile ou du siège du défendeur, ou devant le tribunal du lieu où le travailleur exerce habituellement son activité professionnelle. A teneur de l'art. 35 al. 1 let. d CPC, le travailleur ne peut pas renoncer d'avance à ces fors.</w:t>
      </w:r>
    </w:p>
    <w:p>
      <w:r>
        <w:t>Selon la jurisprudence du Tribunal fédéral, le lieu de l'activité habituelle d'un travailleur est celui où se situe effectivement le centre de l'activité concernée. En accord avec la doctrine unanime, il est admis que lorsqu'un travailleur est occupé simultanément dans plusieurs lieux, celui de ces lieux qui se révèle manifestement central, du point de vue de l'activité fournie, détermine le for à l'exclusion des autres. Appliqué aux voyageurs de commerce et aux autres travailleurs affectés au service extérieur d'une entreprise, ce critère qualitatif détermine un rattachement géographique prépondérant, propre à fonder la compétence du for correspondant, au lieu où le travailleur planifie et organise ses déplacements, et accomplit ses tâches administratives; le cas échéant, ce lieu coïncide avec son domicile personnel (ATF 145 III 14 consid. 8; arrêt du Tribunal fédéral 4A_131/2019 du 11 septembre 2019 consid. 3).</w:t>
      </w:r>
    </w:p>
    <w:p>
      <w:r>
        <w:rPr>
          <w:b/>
        </w:rPr>
        <w:t>E. 3.2</w:t>
      </w:r>
    </w:p>
    <w:p>
      <w:r>
        <w:t>En l'espèce, l'appelant fait valoir des prétentions résultant d'un contrat de travail prétendument conclu avec l'intimée, sise à Zurich. Dans sa demande, il n'a formé aucun allégué au sujet du lieu où il avait exercé l'activité litigieuse. Interrogé par le Tribunal à ce sujet, il a déclaré qu'il avait travaillé à son gré</w:t>
      </w:r>
    </w:p>
    <w:p>
      <w:r>
        <w:t>- 10/11 -</w:t>
      </w:r>
    </w:p>
    <w:p>
      <w:r>
        <w:t>C/30283/2018-3 depuis son domicile en France, à l'aide d'un ordinateur, ce qui avait d'ailleurs été convenu depuis le début avec l'associé gérant de l'intimée. Il a ajouté que l'adresse de son entreprise individuelle à Genève, soit rue 1______, était "une boîte postale", qu'il n'y avait pas de locaux à cette adresse et qu'il n'avait jamais été prévu d'en avoir. Une ligne "J______" était déviée sur son poste de travail à son domicile ou ailleurs. L'appelant - à qui il incombait de renseigner le juge sur les éléments de localisation pertinents et de lui indiquer les moyens de preuve propres à établir ceux-ci - n'a jamais prétendu qu'il avait exercé habituellement son activité à Genève. Il résulte au contraire de ses déclarations qu'il planifiait et organisait son activité, notamment ses éventuels déplacements en Suisse, et accomplissait ses tâches administratives depuis son domicile personnel, situé en France. Même si elles étaient recevables, ses allégations nouvelles ne permettraient pas de retenir un rattachement géographique prépondérant avec Genève, puisque l'appelant se borne à évoquer une activité exercée "essentiellement en Suisse", sans autre précision concernant le/les lieu-x.</w:t>
      </w:r>
    </w:p>
    <w:p>
      <w:r>
        <w:t>C'est donc à juste titre que le Tribunal a nié sa compétence à raison du lieu et déclaré ainsi irrecevable la demande de l'appelant. Il était donc superflu de déterminer si les allégués formés par l'appelant au sujet de l'existence d'une relation de travail étaient concluants ou manifestement faux.</w:t>
      </w:r>
    </w:p>
    <w:p>
      <w:r>
        <w:t>Le jugement attaqué sera donc confirmé.</w:t>
      </w:r>
    </w:p>
    <w:p>
      <w:r>
        <w:rPr>
          <w:b/>
        </w:rPr>
        <w:t>E. 4</w:t>
      </w:r>
    </w:p>
    <w:p>
      <w:r>
        <w:t>La procédure d'appel est gratuite (art. 114 let. c cum 116 al. 1 CPC; art. 19 al. 3 let. c LaCC) et ne donne pas lieu à l'allocation de dépens (art. 22 al. 2 LaCC). * * * * *</w:t>
      </w:r>
    </w:p>
    <w:p>
      <w:r>
        <w:t>- 11/11 -</w:t>
      </w:r>
    </w:p>
    <w:p>
      <w:r>
        <w:t>C/30283/2018-3 PAR CES MOTIFS, La Chambre des prud'hommes, groupe 3 : A la forme : Déclare recevable l'appel formé le 16 mars 2020 par A______ contre le jugement JTPH/65/2020 rendu le 25 février 2020 par le Tribunal des prud'hommes dans la cause C/30283/2018-3. Au fond : Confirme le jugement attaqué. Dit qu'il n'est pas perçu de frais judiciaires ni alloué de dépens d'appel. Déboute les parties de toutes autres conclusions. Siégeant : Monsieur Ivo BUETTI, président; Monsieur Claudio PANNO, juge employeur; Madame Agnès MINDER-JAEGER, juge salariée;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