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CAPH/153/2010 vom 16. September 2010</w:t>
      </w:r>
    </w:p>
    <w:p>
      <w:r>
        <w:t>GE Cour de justice, 2010-09-16, FR</w:t>
      </w:r>
    </w:p>
    <w:p>
      <w:r>
        <w:rPr>
          <w:b/>
        </w:rPr>
        <w:t xml:space="preserve">Quelle: </w:t>
      </w:r>
      <w:r>
        <w:t>https://mcp.opencaselaw.ch/entscheid/ge_gerichte_CAPH_153_2010</w:t>
      </w:r>
    </w:p>
    <w:p>
      <w:r>
        <w:t>FR: GE_GERICHTE CAPH/153/2010 du 16 septembre 2010</w:t>
      </w:r>
    </w:p>
    <w:p>
      <w:r>
        <w:t>IT: GE_GERICHTE CAPH/153/2010 del 16 settembre 2010</w:t>
      </w:r>
    </w:p>
    <w:p>
      <w:pPr>
        <w:pStyle w:val="Heading2"/>
      </w:pPr>
      <w:r>
        <w:t>Regeste</w:t>
      </w:r>
    </w:p>
    <w:p>
      <w:r>
        <w:t>Résumé: A l'instar des premiers juges, la Cour a retenu que les rapports de travail liant E à T, employé dans le restaurant exploité par E, étaient soumis entièrement à la CCNT quand bien même lesdits rapports avaient été interrompus durant cinq mois. Il convenait en effet d'additionner les deux périodes de travail dans la mesure où la période d'interruption n'excédait par deux ans. S'agissant toutefois du certificat de travail réclamé par T, soit celui-ci mentionnait clairement la période d'interruption, soit deux certificats pour chacune des deux périodes devaient être rédigés.</w:t>
      </w:r>
    </w:p>
    <w:p>
      <w:pPr>
        <w:pStyle w:val="Heading2"/>
      </w:pPr>
      <w:r>
        <w:t>Erwägungen</w:t>
      </w:r>
    </w:p>
    <w:p>
      <w:r>
        <w:rPr>
          <w:b/>
        </w:rPr>
        <w:t>E. 1</w:t>
      </w:r>
    </w:p>
    <w:p>
      <w:r>
        <w:t>L'appel respecte le délai et la forme prescrite. Il est, partant, recevable.</w:t>
      </w:r>
    </w:p>
    <w:p>
      <w:r>
        <w:t>La Cour dispose d'une cognition complète.</w:t>
      </w:r>
    </w:p>
    <w:p>
      <w:r>
        <w:rPr>
          <w:b/>
        </w:rPr>
        <w:t>E. 2</w:t>
      </w:r>
    </w:p>
    <w:p>
      <w:r>
        <w:t>Les premiers juges ont, avec raison, retenu que les rapports entre les parties, relevant du contrat de travail, étaient soumis par la CCNT, dont ils ont cor- rectement rappelé la teneur, s'agissant des dispositions topiques applicables.</w:t>
      </w:r>
    </w:p>
    <w:p>
      <w:r>
        <w:t>Plus spécifiquement, ils ont correctement rappelé la teneur de l'art. 32 CCNT, lequel dispose que lorsque la CCNT fait dépendre des droits de la durée de l'engagement, il y a lieu d'additionner les périodes de travail dans le même établissement ou chez le même employeur, pour autant que la pé- riode d'interruption n'excède pas deux ans.</w:t>
      </w:r>
    </w:p>
    <w:p>
      <w:r>
        <w:t>En l'espèce, le principe du cumul des périodes de travail s'applique, dès lors que l'interruption, du 31 janvier 2003 au 1er juillet 2003 est inférieure aux deux ans susmentionnés.</w:t>
      </w:r>
    </w:p>
    <w:p>
      <w:r>
        <w:t>Juridiction des prud’hommes</w:t>
      </w:r>
    </w:p>
    <w:p>
      <w:r>
        <w:t>Cause n° C/23644/2009 - 2 - 6 -</w:t>
      </w:r>
    </w:p>
    <w:p>
      <w:r>
        <w:t>* COUR D’APPEL *</w:t>
      </w:r>
    </w:p>
    <w:p>
      <w:r>
        <w:t>La décision des premiers juges sur ce point n'est ainsi en rien critiquable.</w:t>
      </w:r>
    </w:p>
    <w:p>
      <w:r>
        <w:rPr>
          <w:b/>
        </w:rPr>
        <w:t>E. 3</w:t>
      </w:r>
    </w:p>
    <w:p>
      <w:r>
        <w:t>Les premiers juges ont également relevé à juste titre, s'agissant du droit au vacances de l'intimée, qu'à teneur de l'art. 17 CCNT, disposition impérative à laquelle il ne peut valablement être dérogé par oral, l'intimée pouvait pré- tendre à 5 semaines de vacances par année et que n'ayant bénéficié que de 4 semaines de vacances annuelles, elle pouvait prétendre à une rémunération pour les jours non pris, au prorata temporis.</w:t>
      </w:r>
    </w:p>
    <w:p>
      <w:r>
        <w:t>De ce point de vue, la décision n'est pas non plus critiquable.</w:t>
      </w:r>
    </w:p>
    <w:p>
      <w:r>
        <w:rPr>
          <w:b/>
        </w:rPr>
        <w:t>E. 4</w:t>
      </w:r>
    </w:p>
    <w:p>
      <w:r>
        <w:t>Pour le surplus, les calculs auxquels les premiers juges se sont livrés, tant en ce qui concerne le treizième salaire que l'indemnisation pour vacances non prises, ne font l'objet d'aucune critique motivée en appel.</w:t>
      </w:r>
    </w:p>
    <w:p>
      <w:r>
        <w:t>Certes, les premiers juges ont tenu compte de deux interruptions de l'enga- gement, alors qu'en appel, les parties admettent qu'en définitive il n'y en a eu qu'une. Cette circonstance, qui ne peut conduire qu'à une augmentation des montants alloués, demeure toutefois sans conséquence, en l'absence d'appel incident formé par l'employée.</w:t>
      </w:r>
    </w:p>
    <w:p>
      <w:r>
        <w:rPr>
          <w:b/>
        </w:rPr>
        <w:t>E. 5</w:t>
      </w:r>
    </w:p>
    <w:p>
      <w:r>
        <w:t>Enfin, s'agissant du certificat de travail, l'appelant relève à juste titre que celui-ci ne peut porter sur toute la période s'étant écoulée du 1er juin 2002 au 30 novembre 2008, celle-ci comprenant une interruption des rapports de tra- vail.</w:t>
      </w:r>
    </w:p>
    <w:p>
      <w:r>
        <w:t>Compte tenu de la seule interruption finalement admise, du 31 janvier au 1er juillet 2003, il incombera à l'appelant d'établir soit un seul certificat de travail mentionnant que les rapports de travail ont duré du 1er juin 2002 au 31 janvier 2003, puis du 1er juillet 2003 au 30 novembre 2008, soit deux cer- tificats de travail distincts concernant chacun l'une des deux périodes sus- mentionnées.</w:t>
      </w:r>
    </w:p>
    <w:p>
      <w:r>
        <w:t>Le jugement entrepris sera dès lors modifié dans cette seule mesure et con- firmé pour le surplus.</w:t>
      </w:r>
    </w:p>
    <w:p>
      <w:r>
        <w:t>Juridiction des prud’hommes</w:t>
      </w:r>
    </w:p>
    <w:p>
      <w:r>
        <w:t>Cause n° C/23644/2009 - 2 - 7 -</w:t>
      </w:r>
    </w:p>
    <w:p>
      <w:r>
        <w:t>* COUR D’APPEL *</w:t>
      </w:r>
    </w:p>
    <w:p>
      <w:r>
        <w:rPr>
          <w:b/>
        </w:rPr>
        <w:t>E. 6</w:t>
      </w:r>
    </w:p>
    <w:p>
      <w:r>
        <w:t>Vu la valeur litigieuse, la procédure demeure gratuite.</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