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CAPH/150/2004 vom 21. September 2004</w:t>
      </w:r>
    </w:p>
    <w:p>
      <w:r>
        <w:t>GE Cour de justice, 2004-09-21, FR</w:t>
      </w:r>
    </w:p>
    <w:p>
      <w:r>
        <w:rPr>
          <w:b/>
        </w:rPr>
        <w:t xml:space="preserve">Quelle: </w:t>
      </w:r>
      <w:r>
        <w:t>https://mcp.opencaselaw.ch/entscheid/ge_gerichte_CAPH_150_2004</w:t>
      </w:r>
    </w:p>
    <w:p>
      <w:r>
        <w:t>FR: GE_GERICHTE CAPH/150/2004 du 21 septembre 2004</w:t>
      </w:r>
    </w:p>
    <w:p>
      <w:r>
        <w:t>IT: GE_GERICHTE CAPH/150/2004 del 21 settembre 2004</w:t>
      </w:r>
    </w:p>
    <w:p>
      <w:pPr>
        <w:pStyle w:val="Heading2"/>
      </w:pPr>
      <w:r>
        <w:t>Regeste</w:t>
      </w:r>
    </w:p>
    <w:p>
      <w:r>
        <w:t>Résumé: Renvoi à laCAPH/180/2004, avec quelques modifications de détail.</w:t>
      </w:r>
    </w:p>
    <w:p>
      <w:pPr>
        <w:pStyle w:val="Heading2"/>
      </w:pPr>
      <w:r>
        <w:t>Erwägungen</w:t>
      </w:r>
    </w:p>
    <w:p>
      <w:r>
        <w:rPr>
          <w:b/>
        </w:rPr>
        <w:t>E. 13</w:t>
      </w:r>
    </w:p>
    <w:p>
      <w:r>
        <w:t>!"##$%</w:t>
      </w:r>
    </w:p>
    <w:p>
      <w:r>
        <w:t>1. Tant l’appel principal que l’appel incident ont été formés dans le délai et la forme prescrits par la loi. Ils sont, partant, recevables.</w:t>
      </w:r>
    </w:p>
    <w:p>
      <w:r>
        <w:t>Les conclusions prises devant la Cour par T___________ n’excèdent pas ce qu’il a déjà sollicité des premiers juges. Il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w:t>
      </w:r>
    </w:p>
    <w:p>
      <w:r>
        <w:t>Le jugement entrepris, portant sur une valeur litigieuse de plus de 1'000 fr., a été rendu en premier ressort (art. 54 LJP). Il est en conséquence susceptible d’appel.</w:t>
      </w:r>
    </w:p>
    <w:p>
      <w:r>
        <w:t>La cognition de la Cour est complète.</w:t>
      </w:r>
    </w:p>
    <w:p>
      <w:r>
        <w:t>2. Les parties ne remettent pas en cause la compétence ratione loci et ratione materiae de la juridiction des prud’hommes.</w:t>
      </w:r>
    </w:p>
    <w:p>
      <w:r>
        <w:t>La Cour examine toutefois d’office sa compétence ratione materiae.</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w:t>
      </w:r>
    </w:p>
    <w:p>
      <w:r>
        <w:t>In casu, l’existence d’un rapport de travail entre E___________ et T___________ n’est pas contestée. T___________ fonde ses conclusions sur la teneur du courrier de E___________, lui confirmant les conditions de sa préretraite, ainsi que sur ses annexes.</w:t>
      </w:r>
    </w:p>
    <w:p>
      <w:r>
        <w:t>Le courrier du 4 juillet 1996 de E___________ concrétise un accord entre employeur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w:t>
      </w:r>
    </w:p>
    <w:p>
      <w:r>
        <w:rPr>
          <w:b/>
        </w:rPr>
        <w:t>E. 14</w:t>
      </w:r>
    </w:p>
    <w:p>
      <w:r>
        <w:t>!"##$%</w:t>
      </w:r>
    </w:p>
    <w:p>
      <w:r>
        <w:t>Ses conclusions, fondées sur ce courrier, constituent dès lors bien des prestations issues d’un rapport de travail au sens de l’art. 1 LJP.</w:t>
      </w:r>
    </w:p>
    <w:p>
      <w:r>
        <w:t>Il n’est pour le surplus pas contesté que T___________ exerçait ses fonctions à Genève, ce qui fonde la compétence ratione loci de la juridiction de céans.</w:t>
      </w:r>
    </w:p>
    <w:p>
      <w:r>
        <w:t>3. E___________ conteste sa légitimation passive, faisant en substance valoir que seule C_______ – laquelle les finance exclusivement – est débitrice des prestations prévues au plan social « option 96 », qui trouve application en l’espèce. T___________, pour sa part, s’appuie sur le texte clair du courrier du 4 juillet 1996.</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85-85 consid. 2a ; SJ 1995 p. 214 ; POUDRET/SANDOZ/MONOZ, Commentaire de la LOJF n° 1.3.2.4 ad art. 43).</w:t>
      </w:r>
    </w:p>
    <w:p>
      <w:r>
        <w:t>La question de la légitimation active et passive est examinée d’office (ATF 108 II 216 = JdT 1983 I 361 consid. 1).</w:t>
      </w:r>
    </w:p>
    <w:p>
      <w:r>
        <w:t>4. A fin 1992, le service de « catering » de A_______ dans lequel travaillait T___________ a été « filialisé », à savoir repris par la société E___________ nouvellement crée en 1992.</w:t>
      </w:r>
    </w:p>
    <w:p>
      <w:r>
        <w:t>Cette opération se qualifie comme un transfert d’entreprise au sens de l’art. 333 CO.</w:t>
      </w:r>
    </w:p>
    <w:p>
      <w:r>
        <w:t>4.1. 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w:t>
      </w:r>
    </w:p>
    <w:p>
      <w:r>
        <w:rPr>
          <w:b/>
        </w:rPr>
        <w:t>E. 15</w:t>
      </w:r>
    </w:p>
    <w:p>
      <w:r>
        <w:t>!"##$%</w:t>
      </w:r>
    </w:p>
    <w:p>
      <w:r>
        <w:t>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 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t>4.2. En l’espèce, D___________, après sa création en 1992, a repris tant l’exploitation que le personnel du service « catering » de A_______, soit une partie de l’entreprise A_______ ; elle est, partant liée, en application de l’art. 333 CO, par les conditions auxquelles sont soumis les contrats de travail des employés de ce service, dont elle est devenue l’employeur dès le 1er janvier 1993.</w:t>
      </w:r>
    </w:p>
    <w:p>
      <w:r>
        <w:t>C’est dans ce contexte que l’accord portant sur la préretraite de T___________ a été conclu par les parties.</w:t>
      </w:r>
    </w:p>
    <w:p>
      <w:r>
        <w:t>5.1.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w:t>
      </w:r>
    </w:p>
    <w:p>
      <w:r>
        <w:rPr>
          <w:b/>
        </w:rPr>
        <w:t>E. 16</w:t>
      </w:r>
    </w:p>
    <w:p>
      <w:r>
        <w:t>!"##$%</w:t>
      </w:r>
    </w:p>
    <w:p>
      <w:r>
        <w:t>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w:t>
      </w:r>
    </w:p>
    <w:p>
      <w:r>
        <w:rPr>
          <w:b/>
        </w:rPr>
        <w:t>E. 18</w:t>
      </w:r>
    </w:p>
    <w:p>
      <w:r>
        <w:t>!"##$%</w:t>
      </w:r>
    </w:p>
    <w:p>
      <w:r>
        <w:t>de la contestation, par E___________, de sa qualité de débitrice et face à l’incertitude juridique qui en découlait, on ne peut reprocher à T___________ d’avoir voulu sauvegarder ses droits en produisant sa créance dans le sursis concordataire C_______ (débitrice alléguée par E___________), dont il n’est au demeurant pas exclu qu’elle revête la qualité de débitrice solidaire, s’agissant des prestations promises à T___________, question que la Cour n’a toutefois pas à trancher.</w:t>
      </w:r>
    </w:p>
    <w:p>
      <w:r>
        <w:t>E___________ ne peut par ailleurs se prévaloir du fait que T___________ a sollicité et obtenu une aide du SECO, dans le cadre des mesures réservées aux créanciers de C_______, ceci pour diminuer son dommage.</w:t>
      </w:r>
    </w:p>
    <w:p>
      <w:r>
        <w:t>Au vu de ce qui précède, les premiers juges ont avec raison admis la légitimation passive de E___________.</w:t>
      </w:r>
    </w:p>
    <w:p>
      <w:r>
        <w:t>6. E___________ soutient encore que plus aucune prestation n’est due, à dater du 1er décembre 2001, dans la mesure où T___________ perçoit sa rente B________. A ses yeux, le plan de préretraite prévu était destiné à assurer le niveau de vie des employés antérieur à la résiliation des rapports de travail jusqu’au versement de la rente LPP.</w:t>
      </w:r>
    </w:p>
    <w:p>
      <w:r>
        <w:t>La Cour ne saurait suivre cet avis.</w:t>
      </w:r>
    </w:p>
    <w:p>
      <w:r>
        <w:t>6.1. Il résulte en effet clairement du texte du courrier du 4 juillet 1996 que les prestations de préretraite devaient être versées à T___________ non jusqu’au moment où il percevrait les prestations de B________, mais jusqu’à l’âge normal de la retraite. En effet, selon ce courrier, le versement de la rente LPP intervient le 1er novembre 2001, soit de manière anticipée d’une année par rapport au début de la rente B________ réglementaire, alors que T___________ n’atteint l’âge de la retraite normale que le 1er décembre 2004. Or, durant cette période, soit du 1er novembre 2001 au 1er décembre 2004, T___________ peut prétendre au « versement transitoire » ou « pont AVS » prévu au chiffre 2.3 de ce courrier.</w:t>
      </w:r>
    </w:p>
    <w:p>
      <w:r>
        <w:t>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B________ et jusqu’à ce qu’il atteigne l’âge normal de la retraite.</w:t>
      </w:r>
    </w:p>
    <w:p>
      <w:r>
        <w:t>6.2. E___________ ne saurait en outre être suivie, lorsqu’elle prétend que le mécanisme du plan social exclut toute prestation de sa part, lorsque l’employé perçoit d’un tiers une prestation équivalente ou supérieure aux</w:t>
      </w:r>
    </w:p>
    <w:p>
      <w:r>
        <w:rPr>
          <w:b/>
        </w:rPr>
        <w:t>E. 19</w:t>
      </w:r>
    </w:p>
    <w:p>
      <w:r>
        <w:t>!"##$%</w:t>
      </w:r>
    </w:p>
    <w:p>
      <w:r>
        <w:t>prestations prévues, dès lors que celle-ci assure à l’employé son niveau de vie antérieur. On cherche en vain l’expression explicite ou implicite d’une telle règle tant dans le courrier du 4 juillet 1996 que dans le plan social de C_______ option 1996/2000. E___________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du courrier du 4 juillet 1996 réserve la possibilité de « réduire » la prestation promise, lorsque le préretraité exerce une activité lucrative lui rapportant cumulé, avec la prestation de préretraite, un montant supérieur à son dernier salaire, circonstance non réalisée en l’espèce.</w:t>
      </w:r>
    </w:p>
    <w:p>
      <w:r>
        <w:t>Les engagements résultant du courrier de E___________ du 4 juillet 1996 ne sont dès lors pas caducs du simple fait que T___________ perçoit, de manière d’ailleurs conforme à ce qui a été prévu, une rente de B________.</w:t>
      </w:r>
    </w:p>
    <w:p>
      <w:r>
        <w:t>6.3. C’est le lieu de préciser que la dette de E___________ n’est amoindrie ni par la production de la créance de T___________ dans le concordat de C_______, ni par son admission à l’état de collocation. Seul un paiement dans le cadre de celui-ci, libérerait E___________ à due concurrence. Or, il n’est pas allégué qu’un tel versement serait intervenu à ce jour. Partant, point n’est besoin de donner suite aux conclusions préparatoires de E___________, tendant à l’apport de pièces.</w:t>
      </w:r>
    </w:p>
    <w:p>
      <w:r>
        <w:t>7. Il résulte de ce qui précède que E___________ est en demeure de verser à T___________ les prestations prévues, impayées et échues jusqu’à la date du présent arrêt.</w:t>
      </w:r>
    </w:p>
    <w:p>
      <w:r>
        <w:t>T___________ réclame à ce titre 2'060 fr. par mois, alors que le courrier du 4 juillet 1996 prévoit un « pont AVS » de 1'940 fr. mensuellement. Il se fonde, pour ce faire, sur le courrier qui lui a été adressé par B________ en juillet 2001 et qu’il produit en annexe à ses écritures.</w:t>
      </w:r>
    </w:p>
    <w:p>
      <w:r>
        <w:t>Les termes de ce courrier, émanant d’un tiers, ne sont toutefois pas opposables à E___________.</w:t>
      </w:r>
    </w:p>
    <w:p>
      <w:r>
        <w:t>Sur le sujet, le plan social A_______1995 se contente de prévoir que le « versement transitoire 2 » correspond à la « rente AVS maximale simple » sans autre précision. Les modifications apportées par A_______ en avril 1996 (« option 1996 »), précisent que le montant de ladite rente est fixé « lors du départ et n’est plus modifiable par la suite ».</w:t>
      </w:r>
    </w:p>
    <w:p>
      <w:r>
        <w:rPr>
          <w:b/>
        </w:rPr>
        <w:t>E. 20</w:t>
      </w:r>
    </w:p>
    <w:p>
      <w:r>
        <w:t>!"##$%</w:t>
      </w:r>
    </w:p>
    <w:p>
      <w:r>
        <w:t>Les conditions de préretraitre T____________ trouvent leur source dans le plan social « option 96 ». Ainsi, il doit être retenu que le « versement transitoire 2 » est fixé au moment du départ et n’est plus modifiable par la suite.</w:t>
      </w:r>
    </w:p>
    <w:p>
      <w:r>
        <w:t>Les prestations impayées échues antérieurement au prononcé du présent arrêt, soit du 1er décembre 2001 au 31 août 2004, représentent 1'940 fr. pendant 33 mois, ou 64'020 fr., étant rappelé que s’agissant d’un substitut de salaire, les mensualités sont échues à la fin du mois courant.</w:t>
      </w:r>
    </w:p>
    <w:p>
      <w:r>
        <w:t>Ce montant porte intérêts moratoires à 5% l’an dès le 15 avril 2003, date moyenne.</w:t>
      </w:r>
    </w:p>
    <w:p>
      <w:r>
        <w:t>Ces sommes s’entendent net, les cotisations AVS y relatives devant, aux termes du courrier du 4 juillet 1996, être supportées par T___________.</w:t>
      </w:r>
    </w:p>
    <w:p>
      <w:r>
        <w:t>Vient en imputation de ce montant la somme de 25'056 fr. reçue du SECO, valeur à fin octobre 2002, date de son versement.</w:t>
      </w:r>
    </w:p>
    <w:p>
      <w:r>
        <w:t>8. T___________ réclame également la condamnation de E___________ à lui verser, les prestations mensuelles à échoir dès la date du présent arrêt jusqu’au 1er décembre 2004.</w:t>
      </w:r>
    </w:p>
    <w:p>
      <w:r>
        <w:t>L’action en exécution n’est toutefois pas ouverte, s’agissant des mensualités non encore échues.</w:t>
      </w:r>
    </w:p>
    <w:p>
      <w:r>
        <w:t>La Cour peut toutefois constater l’obligation de E___________ à verser à T___________ les prestations mensuelles non encore échues, à la date de leur échéance respective.</w:t>
      </w:r>
    </w:p>
    <w:p>
      <w:r>
        <w:t>D’une part, ce faisant elle ne statue pas ultra petita, puisque la constatation va moins loin que la condamnation à laquelle l’employé a conclu.</w:t>
      </w:r>
    </w:p>
    <w:p>
      <w:r>
        <w:t>L’action en constatation est d’autre part recevable in casu.</w:t>
      </w:r>
    </w:p>
    <w:p>
      <w:r>
        <w:t>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w:t>
      </w:r>
    </w:p>
    <w:p>
      <w:r>
        <w:rPr>
          <w:b/>
        </w:rPr>
        <w:t>E. 21</w:t>
      </w:r>
    </w:p>
    <w:p>
      <w:r>
        <w:t>!"##$%</w:t>
      </w:r>
    </w:p>
    <w:p>
      <w:r>
        <w:t>périodiques ultérieures (ATF 123 II 49 consid. 1a, 122 III 279 consid. 3a, 84 II 685 consid.2).</w:t>
      </w:r>
    </w:p>
    <w:p>
      <w:r>
        <w:t>Tel est le cas en l’espèce. T___________ dispose certes de l’action en exécution, qu’il fait d’ailleurs valoir, s’agissant des prestations mensuelles échues. Toutefois, cette action n’est pas recevable, s’agissant des prestations futures, et il dispose d’un intérêt juridique à faire constater l’obligation de E__________ de lui verser les mensualités non encore échues.</w:t>
      </w:r>
    </w:p>
    <w:p>
      <w:r>
        <w:t>9. E___________ réclame l’imputation, sur les montants à verser, des prestations reçues par T___________ de B________.</w:t>
      </w:r>
    </w:p>
    <w:p>
      <w:r>
        <w:t>Elle ne saurait être suivie.</w:t>
      </w:r>
    </w:p>
    <w:p>
      <w:r>
        <w:t>D’une part, B________ n’est pas venue se substituer à E___________ dans le versement des prestations qu’elle s’est engagée à servir, mais a versé à T___________ des mensualités en vertu d’une obligation différente, qui lui est propre. Son versement ne vient ainsi pas éteindre, à due concurrence, la dette de E___________.</w:t>
      </w:r>
    </w:p>
    <w:p>
      <w:r>
        <w:t>D’autre part, le plan social « Option 1996 » ne prévoit pas l’imputation sur les prestations prévues des montants versés par une assurance, en particulier par B________. Au contraire, dès que l’employé atteint l’âge avancé de la retraite, respectivement l’âge réglementaire de la retraite, le « pont AVS » vient se cumuler à celles-ci. Il en est de même aux termes du courrier du 4 juillet 1996, puisque dès le 1er décembre 2001 (début de la rente B________), le « pont AVS » de 1’940 fr. promis vient se cumuler à la rente B________ en question.</w:t>
      </w:r>
    </w:p>
    <w:p>
      <w:r>
        <w:t>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w:t>
      </w:r>
    </w:p>
    <w:p>
      <w:r>
        <w:t>La Cour constatera dès lors que E___________ est débitrice T____________ de 1'940 fr. mensuellement, du 1er septembre au 30 novembre 2004.</w:t>
      </w:r>
    </w:p>
    <w:p>
      <w:r>
        <w:t>10. L’appel et l’appel incident portaient tous deux sur une valeur litigieuse inférieure à fr. 30'000.- et aucun émolument de mise au rôle ne devait être perçu. La somme de fr. 400.- versée par T___________ doit ainsi lui être restituée.</w:t>
      </w:r>
    </w:p>
    <w:p>
      <w:r>
        <w:rPr>
          <w:b/>
        </w:rPr>
        <w:t>E. 22</w:t>
      </w:r>
    </w:p>
    <w:p>
      <w:r>
        <w:t>!"##$%</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