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CAPH/145/2014 vom 2. Oktober 2014</w:t>
      </w:r>
    </w:p>
    <w:p>
      <w:r>
        <w:t>GE Cour de justice, 2014-10-02, FR</w:t>
      </w:r>
    </w:p>
    <w:p>
      <w:r>
        <w:rPr>
          <w:b/>
        </w:rPr>
        <w:t xml:space="preserve">Quelle: </w:t>
      </w:r>
      <w:r>
        <w:t>https://mcp.opencaselaw.ch/entscheid/ge_gerichte_CAPH_145_2014</w:t>
      </w:r>
    </w:p>
    <w:p>
      <w:r>
        <w:t>FR: GE_GERICHTE CAPH/145/2014 du 2 octobre 2014</w:t>
      </w:r>
    </w:p>
    <w:p>
      <w:r>
        <w:t>IT: GE_GERICHTE CAPH/145/2014 del 2 ottobre 2014</w:t>
      </w:r>
    </w:p>
    <w:p>
      <w:pPr>
        <w:pStyle w:val="Heading2"/>
      </w:pPr>
      <w:r>
        <w:t>Erwägungen</w:t>
      </w:r>
    </w:p>
    <w:p>
      <w:r>
        <w:rPr>
          <w:b/>
        </w:rPr>
        <w:t>E. 1</w:t>
      </w:r>
    </w:p>
    <w:p>
      <w:r>
        <w:t>L'appel formé par A______SA (ci-après l'appelante) est recevable pour avoir été interjeté auprès de l'autorité compétente (art. 124 let. a LOJ), dans le délai utile de 30 jours (art. 311 al. 1 CPC) et selon la forme prescrite par la loi (art. 130, 131 et 311 CPC) à l'encontre d'une décision finale (art. 308 al. 1 let. a CPC) rendue dans une affaire patrimoniale dont la valeur litigieuse est, compte tenu de la quotité des prétentions contestées en première instance, supérieure à 10'000 fr. (art. 91 et 308 al. 2 CPC).</w:t>
      </w:r>
    </w:p>
    <w:p>
      <w:r>
        <w:t>- 8/12 -</w:t>
      </w:r>
    </w:p>
    <w:p>
      <w:r>
        <w:t>C/6954/2012-2 La Chambre de céans revoit la cause en fait et en droit avec un plein pouvoir d'examen (art. 310 CPC). La valeur litigieuse étant inférieure à 30'000 fr. (art. 91 CPC), la procédure simplifiée est applicable (art. 243 al. 1 CPC) et la présente cause est soumise à la maxime inquisitoire (art. 247 al. 2 let. b ch. 2 CPC) et de disposition (art. 58 al. 1 CPC).</w:t>
      </w:r>
    </w:p>
    <w:p>
      <w:r>
        <w:rPr>
          <w:b/>
        </w:rPr>
        <w:t>E. 2.1</w:t>
      </w:r>
    </w:p>
    <w:p>
      <w:r>
        <w:t>L'appelante fait grief aux premiers juges d'avoir retenu que la CCNT était applicable aux rapports de travail noués entre les parties. Elle leur reproche d'avoir ignoré la teneur de l'art. 2 al. 2 par. 2 de l'arrêté du Conseil fédéral du 19 novembre 1998 étendant le champ d'application de la CCNT, lequel exclut expressément de l'extension les établissements de restauration dont les locaux sont en relation avec des entreprises de vente au détail et qui ont les mêmes horaires et conditions de travail que ces dernières. Comme l'établissement "C______" remplit ces conditions, l'application de ladite convention aurait dû être niée. Par ailleurs, la modification de l'arrêté intervenue au mois de juin 2013 n'est pas applicable puisque les rapports de travail ont pris fin en 2011. La relation contractuelle la liant à l'intimé est ainsi régie par la convention collective de travail de la boulangerie-pâtisserie-confiserie artisanale suisse à l'exclusion de la CCNT. 2.2.1 A teneur des art. 356 ss CO, les clauses d’une convention collective n’ont en principe d’effets qu’envers les employeurs et travailleurs qu’elles lient, c’est-à- dire les employeurs qui sont personnellement parties à la convention (CCT d’entreprise), les employeurs et travailleurs qui sont membres d’une association contractante, ou encore les employeurs et les travailleurs qui ont déclaré se soumettre à la convention au sens de l’art. 356b CO. Toutefois, en vertu de la loi fédérale permettant d’étendre le champ d’application de la convention collective de travail du 28 septembre 1956 (LECCT), la convention peut être étendue aux parties non contractantes par une décision d'extension qui doit notamment fixer le champ d'application de l'extension quant à la profession et aux entreprises. Les clauses étendues de la convention s'appliquent alors non seulement aux employeurs et travailleurs liés mais également à ceux auxquels celle-ci est étendue (art. 1 al. 1, 4 al. 1 et 12 al. 2 LECCT; ATF 123 III 129 consid. 3a). En dehors de ces cas, les rapports entre parties sont régies par le contrat individuel et la loi, éventuellement un contrat- type mais non par la convention collective (ATF 102 Ia 18 = JdT 1977 I 256 ; ATF 98 Ia 563 = JdT 1974 I 654 ; FF 1954 I 156). 2.2.2 La Convention collective nationale de travail pour les hôtels, restaurants et cafés du 6 juillet 1998 (CCNT) a été conclue entre des associations de travailleurs et d'employeurs auxquelles les parties ne sont pas membres. Selon la version au 1er janvier 2010, elle s'applique, à teneur de son art. 1 ch. 1, à tous les employeurs et collaborateurs qui exercent une activité dans un établissement de l'hôtellerie ou de la restauration accessible à tout un chacun contre rémunération.</w:t>
      </w:r>
    </w:p>
    <w:p>
      <w:r>
        <w:t>- 9/12 -</w:t>
      </w:r>
    </w:p>
    <w:p>
      <w:r>
        <w:t>C/6954/2012-2 Le champ d'application de cette convention a été étendu par le Conseil fédéral par arrêté du 19 novembre 1998, dont la durée de validité a par la suite régulièrement été prorogée, la dernière prorogation datant du 1er janvier 2014. Jusqu'au mois de juin 2013, cet arrêté, qui reprenait la teneur de l'art. 1 ch. 1 de la CCNT, précisait toutefois, à son art. 2 ch. 2 par. 2, que l'extension ne s'appliquait pas aux établissements de restauration dont les locaux étaient en relation avec des entreprises de vente au détail et qui avaient, en règle générale, les mêmes horaires et les mêmes conditions de travail que ces dernières. Ce dernier article a été modifié par arrêté du Conseil fédéral du 12 juin 2013, entré en vigueur le 1er juillet 2013, soit ultérieurement à la fin des rapports contractuels liant les parties (2011). La nouvelle teneur prévoit que seuls sont exceptés du champ d'application de l'extension les établissements de restauration dont les locaux sont reliés à des magasins de vente du commerce de détail, qui constituent une unité d’exploitation avec ceux-ci et qui, pour l’essentiel, ont les mêmes heures d’ouverture que le magasin de vente afférent à la condition qu'ils comptent jusqu’à 50 places assises ou, s'ils en compte plus, qu’une convention collective de travail au moins équivalente à la CCNT s’applique impérativement à tous les collaborateurs de l'entreprise. 2.2.3 La CCNT institue à son art. 35, partiellement étendu par l'arrêté du Conseil fédéral, un office de contrôle et une commission paritaire de surveillance qui contrôlent le respect de la convention. La décision d'une commission paritaire ne revêt pas un caractère exécutoire. Ainsi, si une décision prise par cette autorité n'est pas exécutée, le litige devra être tranché par les tribunaux civils (BRUCHEZ, in Commentaire du contrat de travail, DUNAND/MAHON[éd.], 2013, n. 7 et 44 ad art. 357b CO).</w:t>
      </w:r>
    </w:p>
    <w:p>
      <w:r>
        <w:rPr>
          <w:b/>
        </w:rPr>
        <w:t>E. 2.3</w:t>
      </w:r>
    </w:p>
    <w:p>
      <w:r>
        <w:t>En l'espèce, il est constant que les parties n'ont pas convenu contractuellement de se soumettre à la CCNT et qu'elles ne sont membres d'aucune association contractante à cette convention, de sorte que la CCNT, dans sa version non étendue, ne s'applique pas à leurs rapports contractuels. Ainsi, seule la CCNT étendue est susceptible de régir les relations de travail nouées entre les parties. Le champ d'application de cette convention est défini à l'art. 2 de l'arrêté du Conseil fédéral du 19 novembre 1998. Cet article, dans sa teneur en vigueur durant la période où les parties étaient liées par un contrat de travail, prévoit un champ d'application plus restreint que celui fixé dans la CCNT elle-même. En effet, contrairement à cette dernière convention, il exclut de son champ d'application les établissements de restauration dont les locaux sont en relation avec des entreprises de vente au détail et qui ont, en règle générale, les mêmes horaires et conditions de travail que ces dernières.</w:t>
      </w:r>
    </w:p>
    <w:p>
      <w:r>
        <w:t>- 10/12 -</w:t>
      </w:r>
    </w:p>
    <w:p>
      <w:r>
        <w:t>C/6954/2012-2 Or, l'établissement "C______" exploité par l'appelante, au sein duquel l'intimé travaillait, remplit ces conditions. En effet, si les locaux sont occupés par un espace de vente de plats et de boissons qui peuvent être consommés sur place, prestations caractéristiques d'un établissement de restauration, cet espace est toutefois en relation avec un commerce de boulangerie-pâtisserie, soit un magasin de vente au détail. De plus, les deux commerces appliquent des horaires et des conditions de travail identiques. Le fait que le champ d'application de la CCNT étendue ait été modifié au 1er juillet 2013 est sans pertinence puisque les rapports de travail avaient, à cette époque, déjà pris fin. De même, il est sans pertinence que l'office de contrôle de la CCNT puis la Commission paritaire de surveillance de la CCNT aient considéré que l'établissement "C______" était soumis à ladite convention puisque, à teneur des principes sus-exposés, les autorités judiciaires ne sont pas liées par les décisions prises par ces organismes. Partant, c'est à tort que l'autorité précédente a retenu que la CCNT était applicable au présent contentieux. Les relations de travail nouées entre les parties sont donc uniquement régies par les clauses du contrat de travail ainsi que celles de la convention collective de travail de la boulangerie-pâtisserie-confiserie artisanale suisse du 1er janvier 2009 (CCNT), auxquelles ledit contrat renvoie, et par la loi. Il s'ensuit que la décision de l'autorité précédente de condamner l'appelante à verser à l'intimé une somme brute de 1'761 fr. 50 à titre de treizième salaire sera annulée. En effet, outre que le salaire mensuel brut convenu incluait déjà la part au treizième salaire, la CCNT exclut tout droit au treizième salaire au travailleur dont les rapports de travail ont duré moins d'une année (art. 13 al. 3). Or, l'intimé n'a travaillé que onze mois pour le compte de l'appelante. Il en va de même de la décision de l'autorité précédente d'allouer à l'intimé une indemnité pour jours de vacances non pris de 1'552 fr. 36 bruts, correspondant à la différence entre les quatre semaines annuelles de vacances effectivement accordées et les cinq semaines prévues par la CCNT étendue, dès lors que la CCT NAT n'octroie au travailleur que quatre semaine de vacances par année et non cinq (art. 22 al. 1 let. b). Enfin, la décision de l'autorité précédente d'accorder à l'intimé une indemnité de 450 fr. pour l'entretien des vêtements de travail sera également annulée, le versement d'une telle indemnité n'étant prévue ni par le contrat de travail ni par la CCT NAT ni par la loi. Au vu de ce qui précède, l'appel sera admis et les chiffres 2, 3 et 4 du dispositif du jugement attaqué annulés.</w:t>
      </w:r>
    </w:p>
    <w:p>
      <w:r>
        <w:t>- 11/12 -</w:t>
      </w:r>
    </w:p>
    <w:p>
      <w:r>
        <w:t>C/6954/2012-2</w:t>
      </w:r>
    </w:p>
    <w:p>
      <w:r>
        <w:rPr>
          <w:b/>
        </w:rPr>
        <w:t>E. 3</w:t>
      </w:r>
    </w:p>
    <w:p>
      <w:r>
        <w:t>Compte tenu de l'issue du litige, la Cour peut se dispenser d'examiner les conclusions subsidiaires prises par l'appelante, devenues sans objet.</w:t>
      </w:r>
    </w:p>
    <w:p>
      <w:r>
        <w:rPr>
          <w:b/>
        </w:rPr>
        <w:t>E. 4</w:t>
      </w:r>
    </w:p>
    <w:p>
      <w:r>
        <w:t>La procédure étant gratuite, il n'est perçu aucun frais ni alloué de dépens (art. 71 du Règlement fixant le tarif des frais en matière civile (RTFMC), art. 19 al. 3 let. c et 22 al. 2 LaCC). * * * * *</w:t>
      </w:r>
    </w:p>
    <w:p>
      <w:r>
        <w:t>- 12/12 -</w:t>
      </w:r>
    </w:p>
    <w:p>
      <w:r>
        <w:t>C/6954/2012-2 PAR CES MOTIFS, La Chambre des prud'hommes, groupe 2 : A la forme : Déclare recevable l'appel formé par A______SA contre le jugement JTPH/62/2014 rendu le 19 février 2014 par le Tribunal des prud'hommes dans la cause C/6954/2012-2. Au fond : Annule les chiffres 2, 3 et 4 du dispositif du jugement entrepris. Confirme ce jugement pour le surplus. Déboute les parties de toutes autres conclusions. Siégeant : Monsieur Cédric-Laurent MICHEL, président; Monsieur Vincent CANONICA, juge employeur, Monsieur Besim MAREVCI, juge salarié; Madame Véronique BULUNDWE-LEVY, greffière.</w:t>
      </w:r>
    </w:p>
    <w:p>
      <w:r>
        <w:t>Indication des voies de recours et valeur litigieuse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