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CAPH/130/2023 vom 19. Dezember 2022</w:t>
      </w:r>
    </w:p>
    <w:p>
      <w:r>
        <w:t>GE Cour de justice, 2022-12-19, FR</w:t>
      </w:r>
    </w:p>
    <w:p>
      <w:r>
        <w:rPr>
          <w:b/>
        </w:rPr>
        <w:t xml:space="preserve">Quelle: </w:t>
      </w:r>
      <w:r>
        <w:t>https://mcp.opencaselaw.ch/entscheid/ge_gerichte_CAPH_130_2023</w:t>
      </w:r>
    </w:p>
    <w:p>
      <w:r>
        <w:t>FR: GE_GERICHTE CAPH/130/2023 du 19 décembre 2022</w:t>
      </w:r>
    </w:p>
    <w:p>
      <w:r>
        <w:t>IT: GE_GERICHTE CAPH/130/2023 del 19 dicembre 2022</w:t>
      </w:r>
    </w:p>
    <w:p>
      <w:pPr>
        <w:pStyle w:val="Heading2"/>
      </w:pPr>
      <w:r>
        <w:t>Erwägungen</w:t>
      </w:r>
    </w:p>
    <w:p>
      <w:r>
        <w:rPr>
          <w:b/>
        </w:rPr>
        <w:t>E. 1</w:t>
      </w:r>
    </w:p>
    <w:p>
      <w:r>
        <w:t>L'appel a été interjeté contre une décision finale (308 al. 1 let. a CPC), dans une affaire patrimoniale dont la valeur litigieuse au dernier état des conclusions est supérieure à 10'000 fr. (art. 308 al. 2 CPC), auprès de l'autorité compétente (art. 124 let. a LOJ), dans le délai utile de trente jours (art. 142 al. 1 et 3, 143 al. 1, 145 al. 1 let. c et 311 CPC) et selon la forme prescrite par la loi (art. 130 al. 1, 131 et 311 CPC). Il est dès lors recevable, sous réserve de ce qui suit. L'écriture d'appel comporte inutilement la reproduction des 103 allégués de fait de la demande. Elle ne contient en revanche pas de critiques portant sur les chiffres 3 et 4 du dispositif de la décision attaquée, de sorte que l'appel est irrecevable sur ces points.</w:t>
      </w:r>
    </w:p>
    <w:p>
      <w:r>
        <w:rPr>
          <w:b/>
        </w:rPr>
        <w:t>E. 1.2</w:t>
      </w:r>
    </w:p>
    <w:p>
      <w:r>
        <w:t>La Cour revoit le fond du litige avec un plein pouvoir d'examen en fait et en droit (art. 310 CPC) et applique le droit d'office (art. 57 CPC). La présente procédure est régie par la maxime des débats, qui prévoit que les parties allèguent les faits sur lesquels elles fondent leurs prétentions et produisent les preuves qui s'y rapportent (art. 55 al. 1 CPC).</w:t>
      </w:r>
    </w:p>
    <w:p>
      <w:r>
        <w:rPr>
          <w:b/>
        </w:rPr>
        <w:t>E. 2</w:t>
      </w:r>
    </w:p>
    <w:p>
      <w:r>
        <w:t>L'appelant reproche au Tribunal de ne pas avoir retenu dans la partie en fait de son jugement certains de ses allégués; ceux-ci ont été incorporés, en tant qu'ils étaient pertinents, dans l'état de fait dressé ci-dessus.</w:t>
      </w:r>
    </w:p>
    <w:p>
      <w:r>
        <w:rPr>
          <w:b/>
        </w:rPr>
        <w:t>E. 3</w:t>
      </w:r>
    </w:p>
    <w:p>
      <w:r>
        <w:t>L'appelant fait grief aux premiers juges d'avoir admis la réponse de l'intimée, puis de s'être déclarés incompétents à raison de la matière pour connaître de ses conclusions.</w:t>
      </w:r>
    </w:p>
    <w:p>
      <w:r>
        <w:t>- 8/13 -</w:t>
      </w:r>
    </w:p>
    <w:p>
      <w:r>
        <w:t>C/10087/2021-1</w:t>
      </w:r>
    </w:p>
    <w:p>
      <w:r>
        <w:rPr>
          <w:b/>
        </w:rPr>
        <w:t>E. 3.1</w:t>
      </w:r>
    </w:p>
    <w:p>
      <w:r>
        <w:t>Le tribunal examine d'office si les conditions de recevabilité sont remplies (art. 60 CPC).</w:t>
      </w:r>
    </w:p>
    <w:p>
      <w:r>
        <w:t>Il n'entre en matière que sur les demandes et les requêtes qui satisfont aux conditions de recevabilité de l'action (art. 59 al. 1 CPC). Ces conditions sont notamment: le tribunal est compétent à raison de la matière et du lieu (art. 59 al. 2 let. f CPC).</w:t>
      </w:r>
    </w:p>
    <w:p>
      <w:r>
        <w:rPr>
          <w:b/>
        </w:rPr>
        <w:t>E. 3.2</w:t>
      </w:r>
    </w:p>
    <w:p>
      <w:r>
        <w:t>Le canton de Genève a institué une juridiction spécialisée - le Tribunal des prud'hommes - pour juger " [d]es litiges découlant d'un contrat de travail, au sens du titre dixième du Code des obligations " (art. 1 al. 1 let. a LTPH). Il s'ensuit que l'existence d'un contrat de travail est un fait doublement pertinent, soit un fait déterminant pour la compétence du tribunal comme pour le bien-fondé de l'action (ATF 147 III 159 consid. 2.1.2). Conformément à la théorie de la double pertinence, le juge examine sa compétence uniquement sur la base des allégués, moyens et conclusions de la demande, sans tenir compte des objections de la partie défenderesse, et sans procéder à aucune administration de preuves. Les faits doublement pertinents n'ont pas à être prouvés, mais sont censés établis sur la seule base des écritures du demandeur. Il faut et il suffit que le demandeur allègue correctement les faits doublement pertinents, c'est-à-dire de telle façon que leur contenu permette au tribunal d'apprécier sa compétence. Si les faits doublement pertinents ne doivent pas être prouvés, cela ne dispense toutefois pas le juge d'examiner s'ils sont concluants (schlüssig), c'est-à-dire s'ils permettent juridiquement d'en déduire le for invoqué par le demandeur (ATF 147 III 159 consid. 2.1.2; 141 III 294 consid. 5.2 et 6.1). La théorie de la double pertinence autorise ainsi le juge saisi à admettre sa compétence sans en vérifier toutes les conditions, par exemple à se déclarer compétent alors même que l'existence d'un contrat de travail n'a pas été établie (ATF 147 III 159 consid. 2.1.2). Si, lors de l'examen de sa compétence, fondé sur l'analyse restreinte aux éléments précités, le juge aboutit à la conclusion qu'il n'est pas compétent (par exemple, parce qu'un contrat de travail ne peut pas être retenu), il doit déclarer la demande irrecevable (arrêt du Tribunal fédéral 4A_429/2020 consid. 2.1; cf. ATF 141 III 294 consid. 5.2). Le Tribunal fédéral a considéré que la théorie de la double pertinence était justifiée dans son résultat (ATF 147 III 159 consid. 2.1.2; 141 III 294 consid. 5.2).</w:t>
      </w:r>
    </w:p>
    <w:p>
      <w:r>
        <w:t>Il n'est fait exception à l'application de la théorie de la double pertinence qu'en cas d'abus de droit de la part du demandeur, par exemple lorsque la demande est</w:t>
      </w:r>
    </w:p>
    <w:p>
      <w:r>
        <w:t>- 9/13 -</w:t>
      </w:r>
    </w:p>
    <w:p>
      <w:r>
        <w:t>C/10087/2021-1 présentée sous une forme destinée à en déguiser la nature véritable et à éluder la règle de for applicable, ou lorsque les allégués sont manifestement faux (ATF 147 III 159 consid. 2.2; 141 III 294 consid. 5.3; 136 III 486 consid. 4; 66 II 179 consid. 2; arrêts du Tribunal fédéral 4A_484/2018 du 10 décembre 2019 consid. 5.2; 4A_510/2019 du 29 octobre 2019 consid. 2; 4A_573/2015 du 3 mai 2016 consid. 5.2.3; 4A_28/2014 du 10 décembre 2014 consid. 4.2.2), ou que la thèse de la demande apparaît d'emblée spécieuse ou incohérente, ou se trouve réfutée immédiatement et sans équivoque par la réponse et les documents produits par la partie adverse (ATF 137 III 32 consid. 2.3; 136 III 486 consid. 4; arrêts du Tribunal fédéral 4A_484/2018 précité consid. 5.2; 4A_630/2011 du 7 mars 2012 consid. 2.2 non publié in ATF 138 III 166; 4A_31/2011 du 11 mars 2011 consid. 2). Dans ces situations d'abus, la partie adverse doit être protégée contre la tentative du demandeur de l'attraire au for de son choix (ATF 147 III 159 consid. 2.2; 141 III 294 consid. 5.3; 136 III 486 consid. 4; arrêts précités 4A_573/2015 consid. 5.2.3; 4A_28/2014 consid. 4.2.2).</w:t>
      </w:r>
    </w:p>
    <w:p>
      <w:r>
        <w:rPr>
          <w:b/>
        </w:rPr>
        <w:t>E. 3.3</w:t>
      </w:r>
    </w:p>
    <w:p>
      <w:r>
        <w:t>En l'espèce, l'appelant se plaint de ce que la réponse de l'intimé a été admise par les premiers juges; il soutient qu'elle aurait été déposée hors délai, faute d'ordonnance prolongeant celui qui avait été imparti et qu'il s'agissait de statuer dès lors en application de l'art. 223 CPC. Ce faisant, il méconnaît que le Tribunal a, le 29 mars 2022, certes sous une forme manuscrite et dont la communication à son endroit a été tardive, rapporté sa précédente ordonnance, et fait droit à la requête de prolongation motivée qui lui était soumise (art. 144 al. 2 CPC). Le grief tombe ainsi à faux.</w:t>
      </w:r>
    </w:p>
    <w:p>
      <w:r>
        <w:t>Pour le surplus, il sera rappelé que la recevabilité de la demande est examinée d'office, en particulier sous l'angle de la compétence ratione loci et materiae. Le Tribunal a retenu qu'il y avait lieu, en l'occurrence, de faire exception à la théorie des faits de double pertinence au motif que la thèse présentée par l'appelant apparaissait d'emblée spécieuse et incohérente. Cette conclusion suit immédiatement la constatation que l'appelant n'aurait pas démontré, ou rendu vraisemblable, l'existence d'un contrat de travail, de sorte qu'il peut être supposé qu'il s'agit là du motif déterminant pour les premiers juges.</w:t>
      </w:r>
    </w:p>
    <w:p>
      <w:r>
        <w:t>Quoi qu'il en soit du bien-fondé de cette constatation, elle n'est pas propre, en elle- même, à fonder la qualification d'une thèse spécieuse (soit susceptible de tromper) encore moins incohérente.</w:t>
      </w:r>
    </w:p>
    <w:p>
      <w:r>
        <w:t>Cela étant, il apparaît que l'appelant – personne physique – a formulé des allégués portant sur une relation de travail avec l'intimée – société anonyme inscrite au Registre du commerce genevois –, soumise au droit suisse, et dont le for du lieu d'exécution du travail serait à Genève, et conclu à l'octroi d'une rémunération de 2015 à 2021. A l'appui de ces allégués, il s'est fondé, essentiellement, sur trois</w:t>
      </w:r>
    </w:p>
    <w:p>
      <w:r>
        <w:t>- 10/13 -</w:t>
      </w:r>
    </w:p>
    <w:p>
      <w:r>
        <w:t>C/10087/2021-1 contrats portant le titre de "consulting", conclus, selon leur lettre, entre une structure de droit français (dont il affirme qu'elle n'a pas la personnalité juridique) et des entités de droit néerlandais, anglais et luxembourgeois respectivement, comportant des clauses d'élection de droit en faveur du droit anglais, du droit néerlandais et du droit luxembourgeois, datant respectivement de 2002, 2005 et 2009.</w:t>
      </w:r>
    </w:p>
    <w:p>
      <w:r>
        <w:t>Au vu des écarts patents entre ses allégations et les pièces produites en vue de les démontrer, l'appelant, pour soutenir sa thèse, se devait d'apporter, point par point, les faits propres à circonstancier au premier chef la conclusion des contrats produits, en particulier sous l'angle des parties contractantes, du libellé ainsi que du contenu de ces contrats. Dans sa demande, il n'a rien allégué sur le sujet, ni n'a développé d'argument de droit à ce propos. Il n'a singulièrement pas fait valoir la simulation dont il se prévaut pour la première fois dans son appel, et n'a pas apporté au procès de première instance de faits destinés à prouver que la volonté réelle des parties (qui ne comprenaient pas l'intimée) aux contrats de 2002, 2005 et 2008, – soit à trois reprises successives – divergerait des déclarations reproduites dans ces accords écrits. Or, comme le rappelle le Tribunal fédéral, au demeurant cité par l'appelant, savoir si les parties avaient la volonté (réelle) de feindre une convention revient à constater leur volonté interne au moment de la conclusion du contrat, soit un élément factuel (cf arrêt du Tribunal fédéral 4A_484/2018 du 10 décembre 2019 consid. 4.1). L'appelant s'est limité à alléguer qu'il avait fourni "une prestation de travail continue" et exclusive en faveur de l'intimée, avec laquelle il était en lien de subordination (sans alléguer le contenu des pièces offertes en preuve sur ce point, comme l'a justement relevé le Tribunal). Il s'est certes référé à quelques circonstances spécifiques, admises par l'intimée, relatives à des correspondances, notamment l'existence d'une messagerie (A______@B______.ch) à son nom au sein du groupe B______, comprise dans une liste de distribution dudit groupe, à divers courriels de 2010 à 2020, à une présence non contestée dans des locaux de ce groupe, au fait qu'il avait "accès" à un administrateur de certaines sociétés du groupe et avait perçu durant un laps de temps long une rémunération qualifiée de fixe. Il a encore fait grand cas d'un courriel émanant du directeur d'une société du groupe comportant, à son sujet, la mention qu'il ne "travaill[ait] plus dans l'entreprise". Contrairement à ce que prétend l'appelant, le Tribunal a pris en compte les allégués précités (hormis l'accès à l'administrateur, dont il n'a pas été explicité ce qu'il révélerait de décisif en l'occurrence), certes sans administrer la totalité des preuves offertes s'agissant de ceux d'entre eux qui demeuraient contestés. Il les a appréciés, pour retenir qu'ils n'étaient pas dépourvus de toute pertinence sous</w:t>
      </w:r>
    </w:p>
    <w:p>
      <w:r>
        <w:t>- 11/13 -</w:t>
      </w:r>
    </w:p>
    <w:p>
      <w:r>
        <w:t>C/10087/2021-1 l'angle de la qualification prétendue de contrat de travail, mais qu'ils étaient également pertinents voire concluants sous l'angle d'une autre qualification juridique plus conforme aux contrats produits, étant précisé qu'il n'était pas contesté que l'appelant avait – au travers d'une entité selon l'intimée – développé des activités en faveur du groupe B______, dans des locaux de celui-ci, avec la disposition de certains moyens de communication dudit groupe et au milieu de "collègues", activités rémunérées (sur la base de factures soumises selon l'intimée). Quant au courriel susmentionné, qui n'émane au demeurant pas de l'intimée selon la mention y figurant, il n'est pas particulièrement révélateur. Les termes "travailler pour" constituent un indice bien étique en faveur de l'existence d'un contrat de travail au sens de l'art. 319 CO, puisqu'ils sont couramment employés au sujet d'artisans, d'entrepreneurs, de mandataires, d'agents, ou de courtiers par exemple. Il en va de même de la référence à un ou des collègue(s), et des deux courriels adressés par le directeur de l'intimée, au contenu anodin, supposés démontrer un lien de subordination.</w:t>
      </w:r>
    </w:p>
    <w:p>
      <w:r>
        <w:t>Aucun élément pertinent ne peut non plus être tiré des extraits de compte produits, l'appelant n'en ayant pas allégué le contenu de façon précise, étant relevé que celui-ci semble considérablement différer de ce qu'il affirme, tant en termes de montants que de provenance des crédits, et n'étant en tout état pas propre à nourrir la qualification prétendue de salaire fixe et régulier. Aucune explication n'a de surcroît été donnée s'agissant du libellé des notes d'honoraires supposément soumises annuellement à l'administrateur D______, ni s'agissant de la ventilation prétendue des crédits (à raison d'un tiers ou d'un quart à charge d'une autre entité que l'intimée ou à la charge de celle-ci, selon que l'on lit le courrier d'avocat de l'appelant du 20 avril 2021 ou la demande). Pour le surplus, le Tribunal a retenu à raison que l'appelant n'avait formé aucun allégué sur des points typiques d'un contrat de travail, tels les vacances, les horaires, le sort du salaire en cas d'assurance maladie, les charges sociales voire la situation fiscale. L'appelant n'adresse d'ailleurs aucune critique aux premiers juges à cet égard, demeurant muet sur ce point du jugement. S'y ajoutent encore les allégués, au contenu peu détaillé, portant sur la fin des rapports contractuels, dont il semble résulter que l'appelant aurait fourni une prestation non rémunérée durant une année environ, sans émettre de protestations antérieurement au courrier de son avocat d'avril 2021, adressé à une entité du groupe B______ qui n'était pas l'intimée. L'existence de quelques courriels produits aux fins de démontrer une supposée activité durant le laps de temps d'une année entre le dernier versement reçu et le courrier précité, qui datent de juillet et août 2021, dont la substance n'a pas été alléguée, ne sont pas particulièrement concluants; au demeurant, l'invocation à cet égard d'oubli de suppression de</w:t>
      </w:r>
    </w:p>
    <w:p>
      <w:r>
        <w:t>- 12/13 -</w:t>
      </w:r>
    </w:p>
    <w:p>
      <w:r>
        <w:t>C/10087/2021-1 l'adresse électronique de l'appelant dans la liste de distribution de l'intimée, telle que présentée par celle-ci, n'est pas dépourvue de vraisemblance. Enfin, il est à relever que l'appelant n'a pas fourni d'explication relative à sa déclaration au Tribunal, en qualité de témoin assermenté et rendu attentif aux conséquences pénales attachées à un faux témoignage, dans le cadre de la cause C/10______/2015, se limitant à une détermination "contesté" s'agissant des allégués de réponse de l'intimé portant sur la déclaration précitée. Or celle-ci est manifestement contraire à la thèse qu'il soutient dans la présente procédure. En définitive, au vu de ce qui précède, l'argumentation de la demande de l'appelant repose de façon première sur des contrats dont rien ne laisse apparaître un for en faveur d'une juridiction de droit du travail à Genève ainsi que sur des allégués lacunaires voire contradictoires – en particulier en tant qu'ils sont rapportés à sa propre déclaration de témoin assermenté dans une autre cause, pièce produite par l'intimée, emportant une réfutation immédiate et sans équivoque des allégués de la demande. Elle apparaît donc abusive, de sorte qu'elle ne mérite pas de protection. Ainsi, le Tribunal a retenu à raison l'existence d'un abus de droit, soit un cas dans lequel il est fait exception à l'application de la théorie de la double pertinence, partant a déclaré irrecevable la demande de l'appelant. Il s'ensuit que le grief dirigé contre le chiffre 1 du dispositif de la décision attaquée sera confirmé, ce qui englobe, dans son résultat, le chiffre 2 de ce dispositif, dépourvu de portée propre.</w:t>
      </w:r>
    </w:p>
    <w:p>
      <w:r>
        <w:rPr>
          <w:b/>
        </w:rPr>
        <w:t>E. 4</w:t>
      </w:r>
    </w:p>
    <w:p>
      <w:r>
        <w:t>L'appelant, qui succombe, supportera les frais de son appel (art. 106 al. 1 CPC), arrêtés à 2'000 fr., compensés avec l'avance opérée, acquise à l'Etat de Genève.</w:t>
      </w:r>
    </w:p>
    <w:p>
      <w:r>
        <w:t>Il n'est pas alloué de dépens (art. 22 al. 2 LaCC). * * * * *</w:t>
      </w:r>
    </w:p>
    <w:p>
      <w:r>
        <w:t>- 13/13 -</w:t>
      </w:r>
    </w:p>
    <w:p>
      <w:r>
        <w:t>C/10087/2021-1</w:t>
      </w:r>
    </w:p>
    <w:p>
      <w:r>
        <w:t>PAR CES MOTIFS, La Chambre des prud'hommes, groupe 1 :</w:t>
      </w:r>
    </w:p>
    <w:p>
      <w:r>
        <w:t>A la forme : Déclare recevable l'appel formé par A______ contre le jugement JTPH/374/2022 rendu par le Tribunal des prud'hommes le 19 décembre 2022, en tant qu'il vise les chiffres 1 et 2 ainsi que 5 à 10 du dispositif dudit jugement, et irrecevable pour le surplus. Au fond : Confirme les chiffres 1, 2 et 5 à 10 de ce jugement. Déboute les parties de toutes autres conclusions d'appel. Siégeant : Madame Sylvie DROIN, présidente; Monsieur Pierre-Alain L'HÔTE, juge employeur; Monsieur Roger EMMENEGGER, juge salarié;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