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CAPH/127/2020 vom 26. Juni 2020</w:t>
      </w:r>
    </w:p>
    <w:p>
      <w:r>
        <w:t>GE Cour de justice, 2020-06-26, FR</w:t>
      </w:r>
    </w:p>
    <w:p>
      <w:r>
        <w:rPr>
          <w:b/>
        </w:rPr>
        <w:t xml:space="preserve">Quelle: </w:t>
      </w:r>
      <w:r>
        <w:t>https://mcp.opencaselaw.ch/entscheid/ge_gerichte_CAPH_127_2020</w:t>
      </w:r>
    </w:p>
    <w:p>
      <w:r>
        <w:t>FR: GE_GERICHTE CAPH/127/2020 du 26 juin 2020</w:t>
      </w:r>
    </w:p>
    <w:p>
      <w:r>
        <w:t>IT: GE_GERICHTE CAPH/127/2020 del 26 giugno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w:t>
      </w:r>
    </w:p>
    <w:p>
      <w:r>
        <w:rPr>
          <w:b/>
        </w:rPr>
        <w:t>E. 1.3</w:t>
      </w:r>
    </w:p>
    <w:p>
      <w:r>
        <w:t>La Chambre de céans revoit la cause en fait et en droit avec un plein pouvoir d'examen (art. 310 CPC).</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En appel, la recevabilité de faits nouveaux est exclusivement régie par l’art. 317 al. 1 CPC, même dans les procédures visées par l’art. 247 al. 2 CPC (ATF 138 III 625 consid. 2; arrêt du Tribunal fédéral 4A_519/2012 du 30 avril 2013 consid. 5).</w:t>
      </w:r>
    </w:p>
    <w:p>
      <w:r>
        <w:t>- 6/11 -</w:t>
      </w:r>
    </w:p>
    <w:p>
      <w:r>
        <w:t>C/2969/2019-4</w:t>
      </w:r>
    </w:p>
    <w:p>
      <w:r>
        <w:rPr>
          <w:b/>
        </w:rPr>
        <w:t>E. 2.2</w:t>
      </w:r>
    </w:p>
    <w:p>
      <w:r>
        <w:t>En l'espèce, les pièces nouvelles 24, 25, 27 et 28 produites par l'intimée sont irrecevables car elles auraient pu être produites devant le Tribunal.</w:t>
      </w:r>
    </w:p>
    <w:p>
      <w:r>
        <w:rPr>
          <w:b/>
        </w:rPr>
        <w:t>E. 3</w:t>
      </w:r>
    </w:p>
    <w:p>
      <w:r>
        <w:t>L'appelante sollicite en appel l'audition du témoin D______, refusée par le Tribunal, au motif que cette audition permettrait d'établir qu'elle a connu des difficultés financières.</w:t>
      </w:r>
    </w:p>
    <w:p>
      <w:r>
        <w:rPr>
          <w:b/>
        </w:rPr>
        <w:t>E. 3.1</w:t>
      </w:r>
    </w:p>
    <w:p>
      <w:r>
        <w:t>Conformément à l'art. 316 al. 3 CPC, l'instance d'appel peut librement décider d'administrer des preuves: elle peut notamment faire administrer une preuve écartée par le tribunal.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5A_476/2015 di 19 novembre 20165 consid. 3.3).</w:t>
      </w:r>
    </w:p>
    <w:p>
      <w:r>
        <w:rPr>
          <w:b/>
        </w:rPr>
        <w:t>E. 3.2</w:t>
      </w:r>
    </w:p>
    <w:p>
      <w:r>
        <w:t>En l'espèce, le fait de savoir si l'appelante connait ou non des difficultés financières n'est pas pertinent pour l'issue du litige. Il n'y a par conséquent pas lieu de procéder à l'audition du témoin D______.</w:t>
      </w:r>
    </w:p>
    <w:p>
      <w:r>
        <w:rPr>
          <w:b/>
        </w:rPr>
        <w:t>E. 4</w:t>
      </w:r>
    </w:p>
    <w:p>
      <w:r>
        <w:t>Le Tribunal a retenu que l'appelante s'était engagée, par courrier du 26 février 2018, à verser à l'intimée une gratification de 20'000 fr. pour la remercier pour ses années de travail. Le versement de ce montant n'était pas soumis à une condition suspensive. Aucun manque de collaboration n'avait été reproché à l'intimée durant la période de préavis. L'appelante était dès lors tenue au versement du montant convenu.</w:t>
      </w:r>
    </w:p>
    <w:p>
      <w:r>
        <w:t>L'appelante fait valoir que le versement de l'indemnité précitée était soumis à la condition que le délai de congé prenne fin le 31 mai 2018 et que l'intimée soit disponible jusqu'à cette date. Ces conditions ne s'étaient pas réalisées en raison de la maladie de l'intimée, de sorte que l'indemnité de 20'000 fr. n'était pas due. Les courriel et courrier adressés à l'intimée par F______, responsable des ressources humaines, les 20 et 28 septembre 2018, n'étaient pas décisifs car "postérieurs aux circonstances entourant la fin des rapports de travail". En outre F______ ne disposait pas d'un pouvoir de signature l'autorisant à engager l'appelante. Elle n'avait pas été autorisée à envoyer ces missives. En tout état de cause, l'intimée commettait un abus de droit en réclamant à l'appelante 20'000 fr. supplémentaires,</w:t>
      </w:r>
    </w:p>
    <w:p>
      <w:r>
        <w:t>- 7/11 -</w:t>
      </w:r>
    </w:p>
    <w:p>
      <w:r>
        <w:t>C/2969/2019-4 alors que celle-ci lui avait déjà versé 29'145 fr. 10 de plus que prévu en raison de sa maladie.</w:t>
      </w:r>
    </w:p>
    <w:p>
      <w:r>
        <w:t>4.1.1 Selon l'art. 322d al. 1 CO, si l'employeur accorde en sus du salaire une rétribution spéciale à certaines occasions, telles que Noël ou la fin de l'exercice annuel, le travailleur y a droit lorsqu'il en a été convenu ainsi.</w:t>
      </w:r>
    </w:p>
    <w:p>
      <w:r>
        <w:t>Dans leur contrat, les parties peuvent convenir d'une indemnité en cas de licenciement. Le paiement d'une indemnité discrétionnaire de départ peut être subordonné au fait que le contrat prenne fin à une date déterminée et ne soit pas prolongé au-delà, de sorte que le travailleur perd le bénéfice de cette prestation dans l'hypothèse d'une prolongation des rapports de travail due à la survenance d'un cas de protection contre le licenciement en temps inopportun (art. 336a CO; WYLER/HEINZER, Droit du travail, 2019, p. 230 et 231; arrêt du Tribunal fédéral 4A_219/2013 consid. 3.1;).</w:t>
      </w:r>
    </w:p>
    <w:p>
      <w:r>
        <w:t>4.1.2 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alors même que des points secondaires ont été réservés (art. 2 al. 1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Le juge tiendra compte des termes utilisés ainsi que du contexte et de l'ensemble des circonstances dans lesquelles les déclarations ont été émises (ATF 125 III 305 consid. 2b et les références citées).</w:t>
      </w:r>
    </w:p>
    <w:p>
      <w:r>
        <w:t>- 8/11 -</w:t>
      </w:r>
    </w:p>
    <w:p>
      <w:r>
        <w:t>C/2969/2019-4</w:t>
      </w:r>
    </w:p>
    <w:p>
      <w:r>
        <w:t>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1er mai 2018 consid. 2.1.).</w:t>
      </w:r>
    </w:p>
    <w:p>
      <w:r>
        <w:t>4.1.3 Les personnes qui ont la qualité de représentants civils au sens des art. 32 ss CO peuvent représenter une SA.</w:t>
      </w:r>
    </w:p>
    <w:p>
      <w:r>
        <w:t>Selon le système légal, lorsque le représentant qui conclut le contrat manifeste agir au nom du représenté, le représenté (i.e. la SA)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(arrêt du Tribunal fédéral 4A_455/2018 du 9 octobre 2019 consid 7.1).</w:t>
      </w:r>
    </w:p>
    <w:p>
      <w:r>
        <w:t>4.1.4 Selon l'article 2 al. 1 CC, chacun est tenu d'exercer ses droits et d'exécuter ses obligations selon les règles de la bonne foi. L'abus manifeste d'un droit n'est pas protégé par la loi (art. 2 al. 2 CC).</w:t>
      </w:r>
    </w:p>
    <w:p>
      <w:r>
        <w:rPr>
          <w:b/>
        </w:rPr>
        <w:t>E. 4.2</w:t>
      </w:r>
    </w:p>
    <w:p>
      <w:r>
        <w:t>En l'espèce, contrairement à ce que fait valoir l'appelante, le versement de 20'000 fr. qu'elle s'est engagé à effectuer en faveur de l'intimée n'était pas soumis à la condition que les rapports de travail prennent effectivement fin au 31 mai 2018. L'on chercherait en effet en vain une telle condition dans le texte du courrier de l'appelante du 26 février 2018.</w:t>
      </w:r>
    </w:p>
    <w:p>
      <w:r>
        <w:t>Ce courrier mentionne que cette indemnité est allouée à l'intimée "pour sa longue contribution à la société et pour sa coopération durant le délai de congé".</w:t>
      </w:r>
    </w:p>
    <w:p>
      <w:r>
        <w:t>Il n'est pas contesté que l'intimée a coopéré pendant le délai de congé.</w:t>
      </w:r>
    </w:p>
    <w:p>
      <w:r>
        <w:t>Le fait que l'intimée soit tombée malade pendant le délai de congé ne constitue quant à lui pas un défaut de coopération.</w:t>
      </w:r>
    </w:p>
    <w:p>
      <w:r>
        <w:t>- 9/11 -</w:t>
      </w:r>
    </w:p>
    <w:p>
      <w:r>
        <w:t>C/2969/2019-4</w:t>
      </w:r>
    </w:p>
    <w:p>
      <w:r>
        <w:t>Il n'est nulle part précisé dans la lettre de congé que le versement de l'indemnité de 20'000 fr. était soumis à la condition suspensive que le contrat de travail prenne fin au 31 mai 2018.</w:t>
      </w:r>
    </w:p>
    <w:p>
      <w:r>
        <w:t>Les allégations en ce sens de l'appelante ne trouvent ainsi aucune assise dans le texte de la lettre de licenciement.</w:t>
      </w:r>
    </w:p>
    <w:p>
      <w:r>
        <w:t>Ces allégations sont en outre contredites par la teneur du courriel qu'elle a adressé à l'intimée le 20 septembre 2018, confirmé par courrier du 28 septembre 2018.</w:t>
      </w:r>
    </w:p>
    <w:p>
      <w:r>
        <w:t>En effet, dans ces deux envois, l'appelante a confirmé à l'intimée qu'elle lui verserait le bonus convenu de 20'000 fr., alors même qu'elle savait que, en raison de la maladie de l'intimée, le contrat de travail n'expirerait pas le 31 mai 2018, mais le 31 octobre de la même année.</w:t>
      </w:r>
    </w:p>
    <w:p>
      <w:r>
        <w:t>A cet égard, les allégations de l'appelante selon lesquelles sa responsable des ressources humaines, F______, n'était pas autorisée à envoyer ces documents, sont formulées pour la première fois en appel, de sorte qu'elles sont irrecevables en application de l'art. 317 al. 1 CPC.</w:t>
      </w:r>
    </w:p>
    <w:p>
      <w:r>
        <w:t>Même à supposer que ces allégations aient été recevables, elles n'auraient pas été établies. En effet, l'appelante ne démontre pas que sa responsable des ressources humaines n'avait pas les pouvoirs nécessaires pour signer seule ce type de courrier.</w:t>
      </w:r>
    </w:p>
    <w:p>
      <w:r>
        <w:t>L'appelante a d'ailleurs expressément indiqué à l'intimée dans son courriel du</w:t>
      </w:r>
    </w:p>
    <w:p>
      <w:r>
        <w:rPr>
          <w:b/>
        </w:rPr>
        <w:t>E. 7</w:t>
      </w:r>
    </w:p>
    <w:p>
      <w:r>
        <w:t>décembre 2018 qu'elle pensait que F______ s'était déjà occupée de la signature du certificat de travail, ce qui implique que cette dernière avait le pouvoir de signer seule des documents importants dans le cadre de ses attributions de responsable des ressources humaines.</w:t>
      </w:r>
    </w:p>
    <w:p>
      <w:r>
        <w:t>En tout état de cause, même à supposer que F______ ait effectivement outrepassé les pouvoirs de représentation qui lui étaient conférés en signant les courriels et courriers des 20 et 28 septembre 2018, l'intimée pouvait déduire l'existence desdits pouvoirs des circonstances. Des courriers de ce type entrent en effet dans le cadre des attributions d'une responsable des ressources humaines.</w:t>
      </w:r>
    </w:p>
    <w:p>
      <w:r>
        <w:t>L'appelante est ainsi liée par les termes des courriers précités.</w:t>
      </w:r>
    </w:p>
    <w:p>
      <w:r>
        <w:t>Il ressort de ce qui précède qu'il est établi que l'engagement de l'appelante de verser à l'intimée une indemnité de 20'000 fr. n'était pas soumis à la condition que les rapports de travail prennent effectivement fin au 31 mai 2018.</w:t>
      </w:r>
    </w:p>
    <w:p>
      <w:r>
        <w:t>Il n'y a dès lors pas lieu de procéder à l'interprétation des manifestations de volonté des parties en application du principe de la confiance, contrairement à ce que fait valoir l'appelante.</w:t>
      </w:r>
    </w:p>
    <w:p>
      <w:r>
        <w:t>- 10/11 -</w:t>
      </w:r>
    </w:p>
    <w:p>
      <w:r>
        <w:t>C/2969/2019-4</w:t>
      </w:r>
    </w:p>
    <w:p>
      <w:r>
        <w:t>Par ailleurs, contrairement à ce que soutient cette dernière, l'intimée n'abuse pas de son droit en réclamant le versement de l'indemnité convenue, en dépit du fait qu'elle est tombée malade pendant le délai de congé. Il n'est en particulier pas établi que l'absence de prise en charge de la totalité du salaire de l'intimée pendant sa maladie par l'assurance perte de gain de l'appelante soit imputable à l'intimée.</w:t>
      </w:r>
    </w:p>
    <w:p>
      <w:r>
        <w:t>Les difficultés financières alléguées par l'appelante ne changent quant à elles rien à ce qui précède.</w:t>
      </w:r>
    </w:p>
    <w:p>
      <w:r>
        <w:t>Le jugement querellé doit par conséquent être confirmé. 4. La valeur litigieuse étant inférieure à 50'000 fr., il ne sera pas prélevé de frais judiciaires, ni alloué de dépens (art. 71 RTFMC et 22 al. 2 LaCC). * * * * *</w:t>
      </w:r>
    </w:p>
    <w:p>
      <w:r>
        <w:t>- 11/11 -</w:t>
      </w:r>
    </w:p>
    <w:p>
      <w:r>
        <w:t>C/2969/2019-4 PAR CES MOTIFS, La Chambre des prud'hommes, groupe 4 : A la forme : Déclare recevable l'appel interjeté par A______ SA contre le jugement JTPH/446/2019 rendu le 6 décembre 2019 par le Tribunal des prud'hommes dans la cause C/2969/2019. Au fond : Confirme le jugement querellé. Dit que la procédure est gratuite. Déboute les parties de toutes autres conclusions. Siégeant : Madame Fabienne GEISINGER-MARIETHOZ,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