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CAPH/124/2015 vom 24. Juli 2015</w:t>
      </w:r>
    </w:p>
    <w:p>
      <w:r>
        <w:t>GE Cour de justice, 2015-07-24, FR</w:t>
      </w:r>
    </w:p>
    <w:p>
      <w:r>
        <w:rPr>
          <w:b/>
        </w:rPr>
        <w:t xml:space="preserve">Quelle: </w:t>
      </w:r>
      <w:r>
        <w:t>https://mcp.opencaselaw.ch/entscheid/ge_gerichte_CAPH_124_2015</w:t>
      </w:r>
    </w:p>
    <w:p>
      <w:r>
        <w:t>FR: GE_GERICHTE CAPH/124/2015 du 24 juillet 2015</w:t>
      </w:r>
    </w:p>
    <w:p>
      <w:r>
        <w:t>IT: GE_GERICHTE CAPH/124/2015 del 24 luglio 2015</w:t>
      </w:r>
    </w:p>
    <w:p>
      <w:pPr>
        <w:pStyle w:val="Heading2"/>
      </w:pPr>
      <w:r>
        <w:t>Erwägungen</w:t>
      </w:r>
    </w:p>
    <w:p>
      <w:r>
        <w:rPr>
          <w:b/>
        </w:rPr>
        <w:t>E. 1.1</w:t>
      </w:r>
    </w:p>
    <w:p>
      <w:r>
        <w:t>L'appel est recevable pour avoir été interjeté auprès de la Cour de justice (art. 124 let. a LOJ), dans le délai utile de trente jours et suivant la forme prescrite par la loi (art. 130, 131, 142 al. 1 et 3, 145 al. 1 let. c, 209 al. 3, 308 al. 1 let. a et 311 al. 1 CPC), à l'encontre d'une décision finale de première instance qui statue sur des conclusions pécuniaires dont la valeur litigieuse, compte tenu de l'ensemble des prétentions demeurées litigieuses en première instance, est supérieure à 10'000 fr. (art. 91 al. 1 in initio et 308 al. 1 let. a et 2 CPC).</w:t>
      </w:r>
    </w:p>
    <w:p>
      <w:r>
        <w:rPr>
          <w:b/>
        </w:rPr>
        <w:t>E. 1.2</w:t>
      </w:r>
    </w:p>
    <w:p>
      <w:r>
        <w:t>La valeur litigieuse, de 92'991 fr. 47, étant supérieure à 30'000 fr., la procédure ordinaire s'applique, de même que les maximes des débats et de disposition (art. 55, 58 al. 1 et 247 al. 2 let. b ch. 2 CPC).</w:t>
      </w:r>
    </w:p>
    <w:p>
      <w:r>
        <w:t>Le juge applique le droit d'office (art. 57 CPC).</w:t>
      </w:r>
    </w:p>
    <w:p>
      <w:r>
        <w:rPr>
          <w:b/>
        </w:rPr>
        <w:t>E. 1.3</w:t>
      </w:r>
    </w:p>
    <w:p>
      <w:r>
        <w:t>La Chambre de céans revoit la cause avec un plein pourvoir d'examen (art. 310 CPC). En particulier, elle contrôle librement l'appréciation des preuves effectuée par le juge de première instance (ATF 138 III 374 consid. 4.3.1; arrêt du Tribunal fédéral 4A_153/2014 du 28 août 2014 consid. 2.2.3).</w:t>
      </w:r>
    </w:p>
    <w:p>
      <w:r>
        <w:rPr>
          <w:b/>
        </w:rPr>
        <w:t>E. 2</w:t>
      </w:r>
    </w:p>
    <w:p>
      <w:r>
        <w:t>La compétence ratione loci des tribunaux genevois n'est à juste titre pas remise en cause devant la Chambre de céans (art. 34 al. 1 CPC), pas plus que la compétence ratione materiae des juridictions prud'homales (art. 1 al. 1 let. a LTPH).</w:t>
      </w:r>
    </w:p>
    <w:p>
      <w:r>
        <w:t>- 6/12 -</w:t>
      </w:r>
    </w:p>
    <w:p>
      <w:r>
        <w:t>C/27328/2013-4</w:t>
      </w:r>
    </w:p>
    <w:p>
      <w:r>
        <w:rPr>
          <w:b/>
        </w:rPr>
        <w:t>E. 3</w:t>
      </w:r>
    </w:p>
    <w:p>
      <w:r>
        <w:t>L'appelante soutient que le licenciement immédiat était justifié.</w:t>
      </w:r>
    </w:p>
    <w:p>
      <w:r>
        <w:rPr>
          <w:b/>
        </w:rPr>
        <w:t>E. 3.1</w:t>
      </w:r>
    </w:p>
    <w:p>
      <w:r>
        <w:t>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arrêts du Tribunal fédéral 4A_397/2014 du 17 décembre 2014 consid. 3.1 et 4A_404/2014 du 17 décembre 2014 consid. 4.1).</w:t>
      </w:r>
    </w:p>
    <w:p>
      <w:r>
        <w:t>En particulier, un manquement au devoir de fidélité du travailleur peut constituer un juste motif de congé (ATF 127 III 351 consid. 4a; 121 III 467 consid. 4d). En vertu de l'art. 321a al. 1 CO, le travailleur doit sauvegarder fidèlement les intérêts légitimes de son employeur: il doit s'abstenir d'entreprendre tout ce qui pourrait lui nuire économiquement (ATF 117 II 560 consid. 3a). Toutefois, même si son contrat contient une clause de prohibition de concurrence, le travailleur ne viole pas son devoir de fidélité, si, envisageant avec d'autres de fonder une entreprise concurrente, il entreprend des préparatifs avant que le contrat de travail ne prenne fin, pour autant qu'il ne commence pas à concurrencer son employeur, à débaucher des employés ou à détourner de la clientèle (ATF 138 III 67 consid. 2.3.5; arrêts du Tribunal fédéral 4A_397/2014 du 17 décembre 2014 consid. 3.1; 4A_404/2014 du 17 décembre 2014 consid. 4.1 et 4A_212/2013 du 10 octobre 2013 consid. 2.2).</w:t>
      </w:r>
    </w:p>
    <w:p>
      <w:r>
        <w:t>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C'est à l'employeur qui entend se prévaloir de justes motifs de licenciement immédiat de démontrer leur existence (arrêt du Tribunal fédéral 4C.298/2005 du 3 janvier 2006 consid. 3.1; BRUNNER/BÜHLER/WAEBER/BRUCHEZ, Commentaire du contrat de travail, 3e éd. mise à jour et complétée, Lausanne 2010, n. 13 ad art. 337 CO).</w:t>
      </w:r>
    </w:p>
    <w:p>
      <w:r>
        <w:t>- 7/12 -</w:t>
      </w:r>
    </w:p>
    <w:p>
      <w:r>
        <w:t>C/27328/2013-4</w:t>
      </w:r>
    </w:p>
    <w:p>
      <w:r>
        <w:rPr>
          <w:b/>
        </w:rPr>
        <w:t>E. 3.2</w:t>
      </w:r>
    </w:p>
    <w:p>
      <w:r>
        <w:t>En l'espèce, le licenciement de l'intimé, signifié le 1er novembre 2013, s'inscrit dans un contexte particulier, puisqu'il est intervenu quelques jours après sa démission.</w:t>
      </w:r>
    </w:p>
    <w:p>
      <w:r>
        <w:t>L'appelante justifie cette résiliation immédiate des rapports de travail par le fait qu'elle a découvert, ensuite de la démission de l'intimé, que ce dernier avait décidé d'intégrer l'équipe de sa concurrente plusieurs mois avant sa démission. En effectuant une analyse rétrospective de son travail, elle remettait ainsi en cause la capacité de l'intimé à sauvegarder fidèlement ses intérêts.</w:t>
      </w:r>
    </w:p>
    <w:p>
      <w:r>
        <w:t>S'il est compréhensible que l'appelante se soit interrogée sur la loyauté de l'intimé après avoir découvert ses nouvelles ambitions professionnelles, elle n'a toutefois avancé aucun élément probant permettant de justifier une rupture irrémédiable du lien de confiance rendant impossible la continuation des rapports de travail jusqu'à la fin de l'année 2013. Elle s'est en effet limitée, par des considérations toutes générales, à indiquer que l'intimé n'avait pas adopté un comportement adéquat à la réception de la résiliation de mandats dont il s'occupait, sans toutefois expliquer en quoi avait consisté dit comportement et quelle aurait dû être l'attitude correcte à adopter. Elle a également insisté sur le fait que l'intimé avait décidé de rejoindre sa principale concurrente au printemps 2013 déjà, or, cet élément a été contesté par le principal intéressé, dont la thèse a été corroborée par l'un des témoins. Le simple fait que l'intimé était toujours employé auprès de l'appelante au moment de la conclusion de son nouveau contrat de travail et que plus d'un mois se soit écoulé entre la conclusion de ce contrat et sa démission ne suffisent pas, à eux- seuls, à justifier un licenciement immédiat. Il aurait fallu établir, preuves à l'appui – ce que n'a pas fait l'appelante –, que l'intimé a, pendant cette période, procédé contrairement aux intérêts de l'appelante et délibérément agi en faveur de son nouvel employeur et donc en défaveur de l'appelante. Il ressort cependant au contraire du dossier que l'appelante était pleinement satisfaite du travail de l'intimé jusqu'à ce qu'elle apprenne qu'il démissionnait aux fins d'intégrer l'équipe de sa concurrente. Ce n'est qu'ensuite de cette découverte que l'appelante a changé d'avis sur l'intimé, lui reprochant des manquements à ses obligations contractuelles dont elle ne s'était jamais plaint auparavant. Or, le fait que l'appelante ait confié d'importants mandats à l'intimé après la constitution de la société C______SA en juillet 2013 et qu'elle ait tenté de le conserver en son sein après avoir reçu sa démission tendent à prouver que le travail de l'intimé était de qualité et grandement apprécié, ce même pendant les mois où il aurait – selon la thèse adoptée par l'appelante – déjà pris la décision de quitter la société. En tout état de cause, les témoignages ont permis d'établir que l'intimé n'a pas participé à la création de la société C______SA et n'y a été engagé qu'en qualité de technicien. Il n'a en outre été abordé par C______SA qu'à la fin du mois d'août</w:t>
      </w:r>
    </w:p>
    <w:p>
      <w:r>
        <w:t>- 8/12 -</w:t>
      </w:r>
    </w:p>
    <w:p>
      <w:r>
        <w:t>C/27328/2013-4 2013, n'a eu aucun contact avec son nouvel employeur jusqu'au 23 septembre 2013 et n'a pas été vu dans les locaux de C______SA avant sa prise de fonctions le 1er janvier 2014. Il n'a, du reste, pas été allégué que l'intimé aurait exercé ses deux activités en parallèle, aurait démarché des collaborateurs de l'appelante ou sa clientèle, aurait informé les clients de l'appelante de sa future démission ou leur aurait demandé de prendre contact avec lui. Partant, l'appelante n'a ni établi à satisfaction de droit les prétendus manquements de l'intimé à ses obligations contractuelles, ni, a fortiori, que ceux-ci étaient propres à détruire définitivement la confiance qu'impliquaient les relations de travail ou à les ébranler de telle façon que leur poursuite ne pouvait plus en être raisonnablement exigée jusqu'à la fin du mois de décembre 2013. Au vu de ce qui précède, c'est à raison que le Tribunal a retenu que la résiliation avec effet immédiat était intervenue de manière injustifiée. Le grief de l'appelante, mal-fondé, sera ainsi rejeté.</w:t>
      </w:r>
    </w:p>
    <w:p>
      <w:r>
        <w:rPr>
          <w:b/>
        </w:rPr>
        <w:t>E. 4</w:t>
      </w:r>
    </w:p>
    <w:p>
      <w:r>
        <w:t>Lorsque la résiliation immédiate du contrat est injustifiée, le travailleur a droit à ce qu'il aurait gagné si les rapports de travail avaient pris fin à l'expiration du délai de congé (art. 337c al. 1 CO), ainsi qu'à une indemnité pour résiliation immédiate injustifiée (art. 337c al. 3 CO).</w:t>
      </w:r>
    </w:p>
    <w:p>
      <w:r>
        <w:t>En seconde instance, l'appelante s'est limitée à se plaindre du montant de l'indemnité pour résiliation immédiate injustifiée et n'a plus remis en cause la somme brute de 42'449 fr. 40 qu'elle a été condamnée à verser en première instance à son ancien employé à titre de salaire, treizième salaire, indemnité pour vacances non prises en nature et réparation du dommage LPP. Elle n'a également plus remis en cause la délivrance d'un certificat de travail complet et conforme aux prescriptions légales en vigueur.</w:t>
      </w:r>
    </w:p>
    <w:p>
      <w:r>
        <w:t>Faute de conclusions subsidiaires sur ces points et dès lors sans contestation en appel de ces points, la Cour limitera son examen à la question de l'indemnité due au sens de l'art. 337c al. 3 CO, étant précisé que la déduction de la somme de 11'643 fr. 50 opérée sur le montant de l'indemnité due à ce titre n'est également plus contestée en seconde instance.</w:t>
      </w:r>
    </w:p>
    <w:p>
      <w:r>
        <w:rPr>
          <w:b/>
        </w:rPr>
        <w:t>E. 5</w:t>
      </w:r>
    </w:p>
    <w:p>
      <w:r>
        <w:t>L'appelante considère qu'une indemnité de 30'000 fr. suite au licenciement immédiat injustifié est excessive.</w:t>
      </w:r>
    </w:p>
    <w:p>
      <w:r>
        <w:rPr>
          <w:b/>
        </w:rPr>
        <w:t>E. 5.1</w:t>
      </w:r>
    </w:p>
    <w:p>
      <w:r>
        <w:t>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w:t>
      </w:r>
    </w:p>
    <w:p>
      <w:r>
        <w:t>- 9/12 -</w:t>
      </w:r>
    </w:p>
    <w:p>
      <w:r>
        <w:t>C/27328/2013-4 distinguée des droits découlant de l'art. 337c al. 1 CO et s'ajoute à eux (ATF 120 II 209 consid. 9b p. 214). Cette indemnité a une double finalité, à la fois réparatrice et punitive, quand bien même elle ne consiste pas en des dommages- intérêts au sens classique, car elle est due même si la victime ne subit ou ne prouve aucun dommage; revêtant un caractère sui generis, elle s'apparente à la peine conventionnelle (ATF 135 III 405 consid. 3.1; 120 II 209 consid. 9b).</w:t>
      </w:r>
    </w:p>
    <w:p>
      <w:r>
        <w:t>Bien que cela ne ressorte pas de l'art. 362 CO, la doctrine admet que cette indemnité revêt un caractère relativement impératif (WYLER/HEINZER, Droit du travail, 3ème édition, intégralement revue et complétée, Berne 2014, p. 612; BRUNNER/BÜHLER/WAEBER/BRUCHEZ, op. cit., n. 12 ad art. 337c CO).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4A_218/2012 du 24 juillet 2012 consid. 2.2 et 4A_660/2010 du 11 mars 2011 consid. 3.2; AUBERT, in Commentaire romand, Code des obligations, vol. I, 2e éd. 2012, n° 12 ad art. 337c CO). Statuant selon les règles du droit et de l'équité (art. 4 CC), le juge dispose d'un large pouvoir d'appréciation.</w:t>
      </w:r>
    </w:p>
    <w:p>
      <w:r>
        <w:rPr>
          <w:b/>
        </w:rPr>
        <w:t>E. 5.2</w:t>
      </w:r>
    </w:p>
    <w:p>
      <w:r>
        <w:t>En l'occurrence, la faute de l'appelante doit être considérée comme relativement grave, tant son comportement et son attitude après la découverte des nouvelles ambitions professionnelles de l'intimé dénotent d'un manque d'égards et de considération envers ce dernier, quand bien même son travail lui avait donné entière satisfaction. Il ressort en effet de la procédure que l'intimé a convenablement accompli ses tâches pendant toute la durée des rapports de travail, à savoir pendant plus de six ans, et qu'il apparaissait aux yeux de l'appelante comme un excellent élément qu'elle a tenté de conserver en son sein après sa démission. Le licenciement immédiat et les critiques formulées par l'appelante à l'encontre de l'intimé après avoir appris que ce dernier allait intégrer l'équipe de sa concurrente apparaissent ainsi purement chicaniers, de totale mauvaise foi et en parfaite contradiction avec les bons rapports de travail entretenus entre les parties pendant plus de six ans. Les agissements de l'appelante – résultant vraisemblablement de l'important conflit l'opposant à sa société rivale –, ont ainsi porté atteinte aux droits de la personnalité de l'intimé, notamment à sa réputation, ce dernier ayant, malgré lui, pâti de ce litige. L'intimé est toutefois employé auprès de l'entreprise C______SA depuis le 1er janvier 2014, de sorte que les effets économiques du congé sont inexistants, ce d'autant plus que l'intimé avait lui-même démissionné de son poste et que son</w:t>
      </w:r>
    </w:p>
    <w:p>
      <w:r>
        <w:t>- 10/12 -</w:t>
      </w:r>
    </w:p>
    <w:p>
      <w:r>
        <w:t>C/27328/2013-4 nouveau contrat de travail avait déjà été signé au moment de sa démission et de son licenciement. Il découle de ce qui précède qu'une indemnité de 15'000 fr. est, compte tenu de toutes les circonstances, justifiée, notamment eu égard au maximum légal fixé à six mois de salaire. Au vu de l'absence d'impact économique du licenciement injustifié, la fonction essentielle de l'indemnité est punitive, de sorte qu'à ce titre le paiement d'un montant équivalent à 1,5 mois de salaire environ apparaît adéquat. La décision entreprise sera dès lors modifiée en ce sens.</w:t>
      </w:r>
    </w:p>
    <w:p>
      <w:r>
        <w:rPr>
          <w:b/>
        </w:rPr>
        <w:t>E. 6</w:t>
      </w:r>
    </w:p>
    <w:p>
      <w:r>
        <w:t>L'appelante qui succombe en majeure partie, sera condamnée aux frais d'appel, arrêtés à 1'000 fr. (art. 106 al. 1, 114 let. c CPC; art. 116 al. 1 CPC; art. 19 al. 3 let. c LaCC; art. 71 RTFMC) et compensés partiellement par l'avance de frais effectuée par cette dernière, laquelle reste acquise à l'Etat de Genève (art. 111 al. 1 CPC).</w:t>
      </w:r>
    </w:p>
    <w:p>
      <w:r>
        <w:t>Elle sera condamnée à payer le solde de 500 fr. à l'Etat de Genève.</w:t>
      </w:r>
    </w:p>
    <w:p>
      <w:r>
        <w:t>Il n'est pas alloué de dépens (art. 96 CPC; art. 22 al. 2 LaCC). * * * * *</w:t>
      </w:r>
    </w:p>
    <w:p>
      <w:r>
        <w:t>- 11/12 -</w:t>
      </w:r>
    </w:p>
    <w:p>
      <w:r>
        <w:t>C/27328/2013-4 PAR CES MOTIFS, La Chambre des prud'hommes, groupe 4 : A la forme : Déclare recevable l'appel formé le 19 janvier 2015 par A______ contre le jugement JTPH/509/2014 rendu le 1er décembre 2014 par le Tribunal des prud'hommes dans la cause C/27328/2013-4. Au fond : L'admet partiellement. Annule le ch. 2 du dispositif de ce jugement et, statuant à nouveau sur ce point : Condamne A______ à payer à B______ la somme brute de 42'449 fr. 40 avec intérêt à 5 % dès le 1er novembre 2013 ainsi que la somme nette de 3'356 fr. 50 avec intérêts à 5 % dès le 1er novembre 2013. Confirme le jugement querellé pour le surplus. Sur les frais : Arrête les frais judiciaires d'appel à 1'000 fr. Les met à la charge de A______ et dit qu'ils sont compensés à hauteur de 500 fr. par l'avance de frais opérée par cette dernière, qui reste acquise à l'Etat de Genève. Condamne en conséquence A______ à verser un montant de 500 fr. à l'Etat de Genève, soit pour lui les Services financiers du Pouvoir judiciaire, à titre de solde des frais judiciaires. Dit qu'il n'est pas alloué de dépens. Siégeant : Monsieur Cédric-Laurent MICHEL, président; Madame Nadia FAVRE, juge employeur, Madame Christine PFUND, juge salariée; Madame Véronique BULUNDWE-LÉVY, greffière.</w:t>
      </w:r>
    </w:p>
    <w:p>
      <w:r>
        <w:t>Le président : Cédric-Laurent MICHEL</w:t>
      </w:r>
    </w:p>
    <w:p>
      <w:r>
        <w:t>La greffière : Véronique BULUNDWE-LÉVY</w:t>
      </w:r>
    </w:p>
    <w:p>
      <w:r>
        <w:t>- 12/12 -</w:t>
      </w:r>
    </w:p>
    <w:p>
      <w:r>
        <w:t>C/27328/2013-4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