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CAPH/123/2016 vom 30. Juni 2016</w:t>
      </w:r>
    </w:p>
    <w:p>
      <w:r>
        <w:t>GE Cour de justice, 2016-06-30, FR</w:t>
      </w:r>
    </w:p>
    <w:p>
      <w:r>
        <w:rPr>
          <w:b/>
        </w:rPr>
        <w:t xml:space="preserve">Quelle: </w:t>
      </w:r>
      <w:r>
        <w:t>https://mcp.opencaselaw.ch/entscheid/ge_gerichte_CAPH_123_2016</w:t>
      </w:r>
    </w:p>
    <w:p>
      <w:r>
        <w:t>FR: GE_GERICHTE CAPH/123/2016 du 30 juin 2016</w:t>
      </w:r>
    </w:p>
    <w:p>
      <w:r>
        <w:t>IT: GE_GERICHTE CAPH/123/2016 del 30 giugno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 L'appel, écrit et motivé, est introduit auprès de l'instance d'appel dans les 30 jours à compter de la notification de la décision motivée (art. 311 al. 1 CPC).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arrêts du Tribunal fédéral 5A_209/2014 du 2 septembre 2014 consid. 4.2.1; 4A_659/2011 du 7 décembre 2011 consid. 3, publié in: SJ 2012 I p. 232). Si la motivation de l'appel est identique aux moyens qui avaient déjà été présentés en première instance, avant la reddition de la décision attaquée, ou si elle ne contient que des critiques toutes générales de la décision attaquée, ou</w:t>
      </w:r>
    </w:p>
    <w:p>
      <w:r>
        <w:t>- 7/11 -</w:t>
      </w:r>
    </w:p>
    <w:p>
      <w:r>
        <w:t>C/7733/2014-4 encore si elle ne fait que renvoyer aux moyens soulevés en première instance, elle ne satisfait pas aux exigences de l'art. 311 al. 1 CPC (arrêt du Tribunal fédéral 4A_290/2014 du 1er septembre 2014 consid. 3.1 et les arrêts cités, publié in: RSPC 2015 p. 52 n° 1614). Dites exigences doivent aussi être observées dans les procédures soumises à la maxime inquisitoire (ATF 138 III 374 consid. 4.3.1; arrêts du Tribunal fédéral 5D_65/2014 du 9 septembre 2014 consid. 5.1; 5A_141/2014 du 28 avril 2014 consid. 3.4; 4A_651/2012 du 7 février 2013 consid. 4.2; 5C.14/2005 du 11 avril 2005 consid. 1.2). Un appel joint peut être formé dans la réponse (art. 313 al. 1 CPC). En l'occurrence, l'appel, déposé dans le délai légal, émane d'un plaideur procédant en personne; il est possible d'en comprendre qu'il se limite au chiffre 3 du dispositif de la décision attaquée et que l'appelante reproche au Tribunal d'avoir retenu que les frais visés dans l'avenant au contrat de travail devaient être versés durant le délai de congé. Il s'ensuit que cet appel sera considéré comme recevable. Il en va de même de l'appel joint.</w:t>
      </w:r>
    </w:p>
    <w:p>
      <w:r>
        <w:rPr>
          <w:b/>
        </w:rPr>
        <w:t>E. 2</w:t>
      </w:r>
    </w:p>
    <w:p>
      <w:r>
        <w:t>L'appelante fait grief aux premiers juges de l'avoir condamnée au paiement d'un montant de salaire durant le délai de congé.</w:t>
      </w:r>
    </w:p>
    <w:p>
      <w:r>
        <w:rPr>
          <w:b/>
        </w:rPr>
        <w:t>E. 2.1</w:t>
      </w:r>
    </w:p>
    <w:p>
      <w:r>
        <w:t>Selon l'art. 322 al. 1 CO, l'employeur paie au travailleur le salaire convenu, usuel ou fixé par un contrat-type de travail ou par une convention collective.</w:t>
      </w:r>
    </w:p>
    <w:p>
      <w:r>
        <w:t>Un accord écrit, un contrat-type de travail ou une convention collective de travail peut prévoir que les frais engagés par le travailleur lui seront remboursés sous forme d'une indemnité fixe, telle qu'une indemnité journalière ou une indemnité hebdomadaire ou mensuelle forfaitaire, à la condition qu'elle couvre tous les frais nécessaires (art. 327a al. 2 CO).</w:t>
      </w:r>
    </w:p>
    <w:p>
      <w:r>
        <w:t>Le fait de convenir d'une indemnité forfaitaire mensuelle pour frais de représentation peut constituer en réalité un élément déguisé du salaire. A cet égard, il y a lieu de rechercher la réelle et commune intention des parties sans s'arrêter aux expressions ou dénominations inexactes. A cet égard, le fait que, dans la réalité, les débours effectifs du travailleur lui soient remboursés en sus de l'indemnité plaide en faveur d'un élément déguisé du salaire. A plus forte raison, sied-il de considérer comme partie intégrante du salaire une indemnité forfaitaire ne correspondant à aucun frais du travailleur (WYLER/HEINZER, Droit du travail, 3ème éd. 2014, p. 301).</w:t>
      </w:r>
    </w:p>
    <w:p>
      <w:r>
        <w:rPr>
          <w:b/>
        </w:rPr>
        <w:t>E. 2.2</w:t>
      </w:r>
    </w:p>
    <w:p>
      <w:r>
        <w:t>En l'occurrence, les parties sont convenues originellement d'un salaire fixe et d'un bonus, puis ont introduit un montant limité de frais de déplacement, puis ont supprimé le bonus et augmenté la quotité des frais précités en y ajoutant encore des frais de déplacement. Elles font valoir de façon concordante que la contrepartie de la suppression du bonus était l'augmentation de la quotité des frais.</w:t>
      </w:r>
    </w:p>
    <w:p>
      <w:r>
        <w:t>- 8/11 -</w:t>
      </w:r>
    </w:p>
    <w:p>
      <w:r>
        <w:t>C/7733/2014-4 Quant au témoin D______, il a évoqué pour son propre cas une augmentation de salaire transformée en frais, et une situation identique s'agissant de l'intimé.</w:t>
      </w:r>
    </w:p>
    <w:p>
      <w:r>
        <w:t>Celui-ci a encore déclaré, sans être contredit, que ses déplacements effectifs n'avaient pas varié selon que l'indemnité était fixée à 150 fr. ou à 750 fr., et qu'il n'encourait pas de frais de repas avec des clients. Il s'ensuit que les premiers juges ont à raison qualifié de salaire déguisé, car destiné à remplacer la rémunération variable et sans lien avec des frais du travailleur, la stipulation contractuelle relative aux frais, en dépit de la lettre de celle-ci. L'appelante ne critique pas le raisonnement des premiers juges au sujet de cette qualification, et se limite à relever qu'elle avait libéré son employé de l'obligation de travailler durant le préavis, et qu'ainsi les frais n'étaient pas dus. Ce faisant, elle perd de vue que le montant versé à ce titre ne relève précisément pas du remboursement de frais au sens de l'art. 327a al. 2 CO qui est subordonné à l'exercice effectif de l'activité professionnelle, mais bien du salaire, dû jusqu'au terme des rapports de travail. Dès lors, le grief n'est pas fondé. Le jugement entrepris sera donc confirmé sur ce point.</w:t>
      </w:r>
    </w:p>
    <w:p>
      <w:r>
        <w:rPr>
          <w:b/>
        </w:rPr>
        <w:t>E. 3</w:t>
      </w:r>
    </w:p>
    <w:p>
      <w:r>
        <w:t>L'intimé, dans son appel joint, reproche au Tribunal de ne pas avoir fait droit à sa prétention en différence de salaire, en lien avec le prélèvement de l'impôt à la source. L'appelante a admis avoir retenu 4'747 fr. sur le salaire 2013 de son employé, dont elle a restitué à celui-ci 1'831 fr. en mai 2014; le solde de 2'916 fr. représente la différence de l'impôt à la source qu'elle a acquittée en raison d'une erreur de calcul, et qui aurait dû être supportée par l'intimé. Celui-ci ne le conteste pas, se prévalant toutefois de ce que sa dette lui aurait été remise. S'il a effectivement déclaré, comme il le rappelle dans son appel joint, que l'appelante lui avait indiqué renoncer à ce montant en raison de la modicité de son salaire à l'engagement, celle-ci, pour sa part, a déclaré que l'intimé avait requis que le montant soit compensé avec un éventuel bonus qui ne s'était pas produit. Quant au témoin D______, qui a bénéficié d'une compensation, il a évoqué une situation identique pour l'intimé. Cette déclaration, peu précise, est plus évocatrice de la thèse de la compensation soutenue par l'appelante que de celle de la remise de dette avancée par l'intimé. Il s'ensuit que ce dernier a échoué à prouver que sa dette lui aurait été remise, et par conséquent qu'il aurait droit à la différence réclamée. Le jugement attaqué, qui l'a débouté de sa prétention, sera confirmé sur ce point.</w:t>
      </w:r>
    </w:p>
    <w:p>
      <w:r>
        <w:t>- 9/11 -</w:t>
      </w:r>
    </w:p>
    <w:p>
      <w:r>
        <w:t>C/7733/2014-4</w:t>
      </w:r>
    </w:p>
    <w:p>
      <w:r>
        <w:rPr>
          <w:b/>
        </w:rPr>
        <w:t>E. 4</w:t>
      </w:r>
    </w:p>
    <w:p>
      <w:r>
        <w:t>L'intimé fait encore grief aux premiers juges de ne pas avoir retenu le caractère abusif de son licenciement.</w:t>
      </w:r>
    </w:p>
    <w:p>
      <w:r>
        <w:rPr>
          <w:b/>
        </w:rPr>
        <w:t>E. 4.1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131 III 535 consid. 4.1). L'énumération de l'art. 336 al. 1 CO n'est pas exhaustive et un abus du droit de résiliation peut se révéler aussi dans d'autres situations qui apparaissent comparables, par leur gravité, aux hypothèses expressément visées (ATF 136 III 513 consid. 2.3; 132 III 115 consid. 2 p. 116; 131 III 535 consid. 4 ).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L'art. 336 al. 1 let. a CO, qui vise le congé discriminatoire, déclare qu'est abusif le congé donné pour une raison inhérente à la personnalité de l'autre partie, à moins que cette raison n'ait un lien avec le rapport de travail ou ne porte sur un point essentiel un préjudice grave au travail dans l'entreprise.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rPr>
          <w:b/>
        </w:rPr>
        <w:t>E. 4.2</w:t>
      </w:r>
    </w:p>
    <w:p>
      <w:r>
        <w:t>En l'espèce, il est constant que la lettre de congé n'était pas motivée. L'intimé a lui-même déclaré que lors de l'entretien de licenciement il lui avait été dit qu'il s'agissait de raisons économiques. Dans la présente procédure, l'appelante s'est prévalue de cette motivation. Elle a déposé à cet égard copie de ses comptes 2011 à 2013, faisant état de pertes pour</w:t>
      </w:r>
    </w:p>
    <w:p>
      <w:r>
        <w:t>- 10/11 -</w:t>
      </w:r>
    </w:p>
    <w:p>
      <w:r>
        <w:t>C/7733/2014-4 chacun de ces exercices. Elle a pour le surplus allégué qu'elle s'était séparée de deux autres employés et que ses activités étaient désormais gelées. L'appelant n'a pas contesté lesdits comptes, pas plus que l'allégation précitée.</w:t>
      </w:r>
    </w:p>
    <w:p>
      <w:r>
        <w:t>L'employeur est donc parvenu à établir la réalité de son motif. Le fait que le gérant de la société n'a pas exposé cette situation financière délicate à ses employés, ni en fin d'année 2013 ni au début 2014, voire a invoqué le contraire, n'est pas de nature à mettre en échec les données comptables, l'appelant admettant au demeurant que des difficultés financières avaient été évoquées fin 2011.</w:t>
      </w:r>
    </w:p>
    <w:p>
      <w:r>
        <w:t>Pour sa part, l'intimé se prévaut, à titre de réel motif du congé, de l'invention par l'appelante d'un supposé complot de sa part et de celle de certains de ses collègues, d'autre part voit un abus dans les circonstances de la fin des rapports de travail (présence d'un agent de sécurité, fermeture des locaux à clé, libération immédiate de l'obligation de travailler avec reconduite à l'extérieur).</w:t>
      </w:r>
    </w:p>
    <w:p>
      <w:r>
        <w:t>Il relève que la note produite en pièce 7 comporte des accusations qui auraient conduit l'employeur à se séparer de lui. A ce propos, il y a lieu de retenir que le contenu de ce document, à caractère outrancier, n'a pas été expliqué, et que ni l'identité de son auteur ni les circonstances de sa confection n'ont été clairement établies. Même si le témoin H______ a déclaré que l'employeur aurait évoqué un complot ourdi par l'intimé et l'un de ses collègues, le lien avec la note précitée, voire avec le licenciement, n'est pas apparent.</w:t>
      </w:r>
    </w:p>
    <w:p>
      <w:r>
        <w:t>Ces éléments n'apparaissent, en tout état, pas suffisants pour représenter des indices dont résulterait une motivation réelle autre que celle que l'appelante a soutenue et démontrée en procédure.</w:t>
      </w:r>
    </w:p>
    <w:p>
      <w:r>
        <w:t>Enfin, les circonstances du licenciement ne sont pas aussi exceptionnelles que l'intimé le soutient: la reconduite immédiate à l'extérieur et la fermeture à clé peuvent se justifier au regard de l'activité de l'intimé et des données qu'il connaissait; quant à la présence d'un agent de sécurité, si elle n'était pas forcément adéquate, l'employé n'a pas allégué qu'elle aurait représenté une contrainte ou une menace concrètes.</w:t>
      </w:r>
    </w:p>
    <w:p>
      <w:r>
        <w:t>En définitive, l'intimé n'est ainsi pas parvenu à apporter des indices faisant apparaître comme non réelle la motivation du congé ou les circonstances de celui- ci comme relevant de l'abus de droit.</w:t>
      </w:r>
    </w:p>
    <w:p>
      <w:r>
        <w:t>Le jugement attaqué sera donc confirmé sur ce point.</w:t>
      </w:r>
    </w:p>
    <w:p>
      <w:r>
        <w:rPr>
          <w:b/>
        </w:rPr>
        <w:t>E. 5</w:t>
      </w:r>
    </w:p>
    <w:p>
      <w:r>
        <w:t>Il n'est pas perçu de frais (art. 114 let. c CPC) ni alloué de dépens (art. 22 al. 2 LaCC). * * * * *</w:t>
      </w:r>
    </w:p>
    <w:p>
      <w:r>
        <w:t>- 11/11 -</w:t>
      </w:r>
    </w:p>
    <w:p>
      <w:r>
        <w:t>C/7733/2014-4 PAR CES MOTIFS, La Chambre des prud'hommes, groupe 4 : A la forme : Déclare recevables l'appel formé par A______ SÀRL contre le chiffre 3 du dispositif du jugement rendu le 5 novembre 2015 par le Tribunal des prud'hommes et l'appel joint formé par B______ contre le chiffre 6 du dispositif dudit jugement. Au fond : Confirme ce jugement. Déboute les parties de toutes autres conclusions. Siégeant : Madame Sylvie DROIN, présidente; Madame Nadia FAVRE, juge employeur; Madame Christine PFUND,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