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CAPH/11/2022 vom 20. Januar 2022</w:t>
      </w:r>
    </w:p>
    <w:p>
      <w:r>
        <w:t>GE Cour de justice, 2022-01-20, FR</w:t>
      </w:r>
    </w:p>
    <w:p>
      <w:r>
        <w:rPr>
          <w:b/>
        </w:rPr>
        <w:t xml:space="preserve">Quelle: </w:t>
      </w:r>
      <w:r>
        <w:t>https://mcp.opencaselaw.ch/entscheid/ge_gerichte_CAPH_11_2022</w:t>
      </w:r>
    </w:p>
    <w:p>
      <w:r>
        <w:t>FR: GE_GERICHTE CAPH/11/2022 du 20 janvier 2022</w:t>
      </w:r>
    </w:p>
    <w:p>
      <w:r>
        <w:t>IT: GE_GERICHTE CAPH/11/2022 del 20 gennaio 2022</w:t>
      </w:r>
    </w:p>
    <w:p>
      <w:pPr>
        <w:pStyle w:val="Heading2"/>
      </w:pPr>
      <w:r>
        <w:t>Erwägungen</w:t>
      </w:r>
    </w:p>
    <w:p>
      <w:r>
        <w:rPr>
          <w:b/>
        </w:rPr>
        <w:t>E. 1.1</w:t>
      </w:r>
    </w:p>
    <w:p>
      <w:r>
        <w:t>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130, 131, 142 al. 1 et 3, 145 al. 1 let. a et 311 CPC), l'appel est recevable.</w:t>
      </w:r>
    </w:p>
    <w:p>
      <w:r>
        <w:rPr>
          <w:b/>
        </w:rPr>
        <w:t>E. 1.2</w:t>
      </w:r>
    </w:p>
    <w:p>
      <w:r>
        <w:t>L'appel peut être formé pour violation du droit et constatation inexacte des faits, la Cour disposant d'un pouvoir d'examen complet (art. 310 CPC), dans la limite des griefs suffisamment motivés qui sont formulés (arrêts du Tribunal fédéral 4A_290/2014 du 1er septembre 2014 consid. 5; 5A_89/2014 du 15 avril 2014 consid. 5.3.2).</w:t>
      </w:r>
    </w:p>
    <w:p>
      <w:r>
        <w:rPr>
          <w:b/>
        </w:rPr>
        <w:t>E. 1.3</w:t>
      </w:r>
    </w:p>
    <w:p>
      <w:r>
        <w:t>La valeur litigieuse étant supérieure à 30'000 fr., la procédure ordinaire est applicable (art. 219 et 243 CPC). Le présent litige est soumis à la maxime des débats et au principe de disposition (art. 55 CPC et 58 CPC).</w:t>
      </w:r>
    </w:p>
    <w:p>
      <w:r>
        <w:rPr>
          <w:b/>
        </w:rPr>
        <w:t>E. 2</w:t>
      </w:r>
    </w:p>
    <w:p>
      <w:r>
        <w:t>L'appelant a formulé des allégués nouveaux devant la Cour, s'agissant de la nature des prestations de travail fournies au service de l'intimée de 2014 à 2018, de ses horaires de travail et de son lien de subordination vis-à-vis de cette dernière. Il a</w:t>
      </w:r>
    </w:p>
    <w:p>
      <w:r>
        <w:t>- 11/19 -</w:t>
      </w:r>
    </w:p>
    <w:p>
      <w:r>
        <w:t>C/21979/2019-5 par ailleurs invoqué des moyens de preuve nouveaux, non soumis au Tribunal, à savoir l'audition de plusieurs témoins. Enfin, l'appelant a sollicité de la Cour qu'elle procède à l'audition des parties.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CR CPC,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 ils sont irrecevables lorsqu'en faisant preuve de la diligence requise, ils auraient déjà pu être invoqués dans la procédure de première instance. Il appartient au plaideur qui entend les invoquer d'exposer en détail les motifs pour lesquels il n'a pas pu présenter le "pseudo nova" en première instance déjà (ATF 143 III 42 consid. 4.1; arrêt du Tribunal fédéral 5A_1006/2017 du 5 février 2018 consid. 3.3). De manière générale, la procédure d'appel ne sert pas à compléter la procédure devant l'instance précédente, mais à examiner et corriger la décision de première instance au regard des critiques concrètes formulées à son encontre (ATF 142 III 413 consid. 2.2.2).</w:t>
      </w:r>
    </w:p>
    <w:p>
      <w:r>
        <w:rPr>
          <w:b/>
        </w:rPr>
        <w:t>E. 2.2</w:t>
      </w:r>
    </w:p>
    <w:p>
      <w:r>
        <w:t>En l'occurrence, les allégués et moyens de preuve nouveaux dont l'appelant se prévaut devant la Cour sont des pseudo nova. L'appelant n'expose pas en quoi il aurait été dans l'impossibilité de les invoquer devant le Tribunal, avant que celui- ci ne garde la cause à juger, de sorte que ces allégués et moyens de preuve sont irrecevables. Au surplus, il ne se justifie pas d'ordonner une nouvelle audition des parties devant la Cour. Outre que les premiers juges ont entendu les parties à trois reprises, les 17 septembre 2020, 8 décembre 2020 et 28 janvier 2021, l'appelant n'expose pas en quoi une telle mesure d'instruction serait pertinente au stade de la procédure d'appel.</w:t>
      </w:r>
    </w:p>
    <w:p>
      <w:r>
        <w:rPr>
          <w:b/>
        </w:rPr>
        <w:t>E. 3</w:t>
      </w:r>
    </w:p>
    <w:p>
      <w:r>
        <w:t>L'appelant fait grief au Tribunal d'avoir nié l'existence d'un contrat de travail dans le cas d'espèce. 3.1.1 Par le contrat individuel de travail, le travailleur s'engage, pour une durée déterminée ou indéterminée, à travailler au service de l'employeur et celui-ci à</w:t>
      </w:r>
    </w:p>
    <w:p>
      <w:r>
        <w:t>- 12/19 -</w:t>
      </w:r>
    </w:p>
    <w:p>
      <w:r>
        <w:t>C/21979/2019-5 payer un salaire fixé d'après le temps ou le travail fourni (salaire aux pièces ou à la tâche) (art. 319 al. 1 CO). Les quatre éléments constitutifs du contrat de travail sont les suivants : a) une prestation personnelle de travail, b) la mise à disposition par le travailleur de son temps pour une durée déterminée ou indéterminée, c) un rapport de subordination, et d) un salaire (cf. WYLER/HEINZER, Droit du travail, 4ème éd. 2019, p. 22 ss; MEIER, CR CO I, 3ème éd. 2021, n. 8 ss ad art. 319 CO). La preuve de l'existence d'un contrat de travail incombe à la partie qui s'en prévaut pour en déduire un droit (art. 8 CC; ATF 125 III 78 consid. 3b; arrêt du Tribunal fédéral 4A_504/2015 du 28 janvier 2016 consid. 2.1.2, in JAR 2017 p. 123). 3.1.2 Le lien de subordination constitue le critère distinctif essentiel du contrat de travail (ATF 125 III 78 consid. 4; arrêt du Tribunal fédéral 4A_602/2013 du 27 mars 2014 consid. 3.2; WITZIG, Droit du travail, Zurich, 2018, p. 86 ss; WITZIG, La subordination dans le contrat de travail, in SJ 2015 II 39 ss, p. 41). Il présuppose que le travailleur soit soumis à l'autorité de l'employeur pour l'exécution du contrat, cela au triple point de vue personnel, fonctionnel (organisation et contrôle), temporel (horaire de travail), et, dans une certaine mesure, économique (ATF 125 III 78 consid. 4; 121 I 259 consid. 3a; arrêt du Tribunal fédéral 4A_553/2008 du 9 février 2009 consid. 4.1).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(SJ 1990, p. 185; MEIER, op. cit., n. 10 et 11 ad art. 319 CO; WYLER/HEINZER, op. cit., p. 22 ss; WITZIG, La subordination dans le contrat de travail, op. cit., p. 44, 51-52). La notion de rapport hiérarchique ou fonctionnel implique que le travailleur est incorporé dans l'entreprise de l'employeur et se voit attribuer une position déterminée au sein de son organisation (arrêt du Tribunal fédéral 4C_276/2006 du 25 janvier 2007 consid. 4.3.1). Du point de vue temporel, le travailleur doit en principe respecter l'horaire de travail fixé par l'employeur (WITZIG, La subordination dans le contrat de travail, op. cit., p. 44, 51-52). La dépendance économique – critère dont l'importance doit être relativisée selon le Tribunal fédéral – réside, quant à elle, en ceci que le salaire permet au travailleur d'assurer sa subsistance (arrêts du Tribunal fédéral 4C_276/2006 du 25</w:t>
      </w:r>
    </w:p>
    <w:p>
      <w:r>
        <w:t>- 13/19 -</w:t>
      </w:r>
    </w:p>
    <w:p>
      <w:r>
        <w:t>C/21979/2019-5 janvier 2007 consid. 4.3.1 et 4.6.1; 4C_462/2004 du 20 avril 2005 consid. 4.3.3; MEIER, op. cit., n. 10 ad art. 319 CO; WITZIG, Droit du travail, op. cit., p. 85). 3.1.3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et le remboursement des frais ainsi que la dépendance économique. Il en va de même de la qualification du revenu en droit fiscal ou de celle retenue par les assurances sociales (MEIER, op. cit., n. 15 ad art. 319 CO). 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(ATF 130 III 213 consid. 2.1; 128 III 129 consid. 1a/aa; arrêts du Tribunal fédéral 4A_293/2015 du 10 décembre 2015 consid. 5; 4C.39/2005 du</w:t>
      </w:r>
    </w:p>
    <w:p>
      <w:r>
        <w:rPr>
          <w:b/>
        </w:rPr>
        <w:t>E. 8</w:t>
      </w:r>
    </w:p>
    <w:p>
      <w:r>
        <w:t>juin 2005 consid. 2.3). Seul l'examen de l'ensemble des circonstances du cas concret permet de déterminer si l'activité en cause est exercée de manière dépendante ou indépendante (ATF 130 III 213 consid. 2.1; 129 III 664 consid. 3.2; 128 III 129 consid. 1a/aa; arrêt du Tribunal fédéral 4A_10/2017 du 19 juillet 2017 consid. 3.1). 3.2.1 La qualification juridique d'un contrat est une question de droit (ATF 131 III 217 consid. 3; arrêt du Tribunal fédéral 4A_602/2013 du 27 mars 2014 consid. 3.1).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 JdT 2012 II 198). La dénomination d'un contrat n'est pas déterminante pour évaluer sa nature juridique (art. 18 al. 1 CO; ATF 129 III 664 consid. 3.1).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w:t>
      </w:r>
    </w:p>
    <w:p>
      <w:r>
        <w:t>- 14/19 -</w:t>
      </w:r>
    </w:p>
    <w:p>
      <w:r>
        <w:t>C/21979/2019-5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w:t>
      </w:r>
    </w:p>
    <w:p>
      <w:r>
        <w:t>Le fardeau de la preuve de l'existence et du contenu de la volonté subjective des parties est à la charge de la partie qui s'en prévaut (arrêt du Tribunal fédéral 4A_619/2016 du 15 mars 2017 consid. 7.1) 3.2.2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du 28 septembre 2012 consid. 4.1 et les références citées). Il incombe à celui qui se prévaut de la simulation d'en apporter la preuve (art. 8 CC), étant précisé qu'on ne saurait admettre trop facilement que les déclarations</w:t>
      </w:r>
    </w:p>
    <w:p>
      <w:r>
        <w:t>- 15/19 -</w:t>
      </w:r>
    </w:p>
    <w:p>
      <w:r>
        <w:t>C/21979/2019-5 ou attitudes des parties ne correspondent pas à leur volonté réelle; le juge doit se montrer exigeant en matière de preuve d'une simulation (arrêt du Tribunal fédéral 4A_90/2016 du 25 août 2016 consid. 3.3.2). 3.3.1 En l'espèce, il s'agit d'examiner – dans un premier temps – si les parties ont été liées par un contrat de travail et, partant, si les quatre éléments constitutifs d'un contrat de travail sont réalisés dans le cas concret. S'agissant du premier élément constitutif, l'appelant ne démontre pas qu'il aurait fourni une prestation personnelle de travail en faveur de l'intimée à partir du mois de janvier 2014. Les déclarations de l'appelant à ce sujet (au demeurant fort vagues) sont contredites par celles de l'intimée, qui affirme que l'appelant n'a jamais travaillé à son service. Le témoignage de F______ n'est quant à lui pas concluant. Outre que les déclarations de ce témoin relèvent de l'ouï-dire, celui-ci s'est limité à indiquer qu'il avait rencontré l'appelant dans les bureaux de l'intimée en 2013, 2014, 2016 et 2017. Il n'a en revanche pas spécifié ce que l'appelant faisait dans les bureaux de la société lors de ces rencontres, ni à quel titre il s'y trouvait. Or, à cette époque, l'appelant était administrateur et actionnaire de la société, ce qui, en soi, suffit à expliquer sa présence dans les locaux de la société entre 2013 et 2017. A cela s'ajoute que les déclarations du témoin F______ doivent être appréciées avec circonspection vu ses liens contractuels avec l'appelant (dont il est le sous-locataire) et le fait que celui-ci l'a informé du procès en cours. En outre, devant le Tribunal, l'appelant n'a pas sollicité l'audition de témoins internes à la société ni produit de pièce susceptible d'étayer les prestations effectuées en faveur de cette dernière, notamment pour la période allant du 1er juin 2015 au 31 août 2018 (soit la période visée par sa demande en paiement). Dans ce contexte, c'est en vain que l'appelant se prévaut du fait que l'intimée n'aurait jamais critiqué "la qualité [et] la quotité de [son] excellent travail". Ce faisant, il perd de vue qu'il lui incombait de prouver l'existence même de la prestation de travail exécutée au profit de l'intimée, ce qu'il n'a pas fait (à cet égard, on voit mal comment l'intimée aurait pu critiquer une prestation de travail dont la réalité n'a pas été démontrée). S'agissant du deuxième élément constitutif, l'appelant n'a pas allégué ni a fortiori établi les horaires de travail qu'il aurait observés dès janvier 2014 et, plus particulièrement, du 1er juin 2015 au 31 août 2018. S'agissant du troisième élément constitutif, l'appelant a lui-même admis devant le Tribunal qu'il n'existait aucun lien de subordination envers l'intimée : en effet, lors de son interrogatoire, il a affirmé qu'il n'avait pas de supérieur hiérarchique, qu'il travaillait "en collaboration" avec C______ et qu'il organisait son activité comme il l'entendait, sans avoir de comptes à rendre – ce qui était du reste compatible avec sa fonction d'administrateur/actionnaire de la société à cette époque.</w:t>
      </w:r>
    </w:p>
    <w:p>
      <w:r>
        <w:t>- 16/19 -</w:t>
      </w:r>
    </w:p>
    <w:p>
      <w:r>
        <w:t>C/21979/2019-5 De son côté, D______ – employé externe de l'intimée depuis 2011, chargé du paiement des salaires et, depuis avril 2016, du back office de la société – a déclaré qu'il ne savait pas exactement ce que faisait l'appelant au sein de cette dernière. Il a ajouté qu'il ignorait si les parties étaient liées par un contrat de travail, respectivement si l'appelant avait déployé une activité pour le compte de la société avant ou après mai 2015 – ce qui ne va pas dans le sens d'une incorporation claire et d'une position déterminée de l'appelant dans l'entreprise. S'il est vrai que l'appelant a touché un "salaire" pendant plusieurs mois, cet élément n'est pas suffisant à lui seul pour admettre l'existence d'un contrat de travail. Eu égard aux considérations qui précèdent, c'est à bon droit que le Tribunal a retenu que l'appelant n'avait pas démontré que les éléments constitutifs d'un contrat de travail étaient remplis in casu et, partant, qu'il l'a débouté de ses prétentions en paiement d'un salaire pour les mois de juin 2015 à août 2018. 3.3.2 Pour le surplus, le Tribunal a considéré que les parties n'étaient pas liées par le contrat signé le 4 septembre 2014, dans la mesure où ce "contrat de travail" ne reflétait pas leur commune et réelle intention – ce que l'appelant remet en cause devant la Cour. Conformément à l'art. 320 CO, le contrat individuel de travail, qui n'est soumis à aucune forme (al. 1), est réputé conclu lorsque l'employeur accepte pour un temps donné l'exécution d'un travail qui, d'après les circonstances, ne doit être fourni que contre un salaire (al. 2). Il s'ensuit que l'existence d'un contrat de travail suppose la réalisation des quatre critères constitutifs décrits supra, indépendamment de la conclusion d'un contrat revêtant la forme écrite. En l'occurrence, l'appelant n'a pas apporté la preuve y relative, ce qui suffit à sceller le sort de son appel. Les critiques de l'appelant relatives au fait que le Tribunal aurait mal calculé le total des "salaires" perçus et/ou mal interprété la clause du "contrat de travail" traitant du début des rapports contractuels sont dénuées de pertinence et ne changent rien à ce qui précède. Au demeurant, les parties conviennent que l'appelant n'a jamais été placé auprès d'entreprises clientes de l'intimée en tant que "consultant senior" en informatique, contrairement à ce qui est stipulé dans le contrat du 4 septembre 2014. L'appelant a en outre reconnu qu'il avait commencé à se rendre dans les locaux de la société en septembre 2013, sans être rémunéré et sans avoir l'intention de se lier à l'intimée par un contrat de travail. Dans ce contexte, le fait que le contrat signé le 4 septembre 2014 contient certaines clauses génériques, usuelles dans un contrat de travail, n'est pas décisif en soi.</w:t>
      </w:r>
    </w:p>
    <w:p>
      <w:r>
        <w:t>- 17/19 -</w:t>
      </w:r>
    </w:p>
    <w:p>
      <w:r>
        <w:t>C/21979/2019-5 Enfin, s'agissant du comportement de l'appelant, il ressort du dossier que celui-ci n'a pas réagi au courriel que C______ lui a adressé le 23 septembre 2016, quand bien même ce courriel confirmait qu'il n'avait plus droit à un "salaire" après le 31 mai 2015. De même, l'appelant n'a pas démontré avoir réclamé de l'intimée qu'elle lui verse le "salaire" stipulé dans le contrat après que celle-ci a cessé tout paiement en sa faveur dès le 1er juin 2015 (étant observé qu'à cette date, le montant de 50'000 fr. investi par l'appelant avait été entièrement remboursé par l'intimée, ce qui tend à démontrer que le courriel de C______ du 28 septembre 2013 reflétait la réelle volonté des parties, comme l'a retenu le Tribunal). Ainsi, l'attitude de l'appelant – qui a patienté pendant près de quatre ans, soit jusqu'au 3 avril 2019, pour réclamer le paiement de son "salaire", peu de temps après la révocation de son mandat d'administrateur – conforte la Cour, tout comme elle a conforté le Tribunal, dans la conviction que les parties n'ont jamais eu la réelle et commune intention de se lier par un contrat de travail au sens des art. 319 ss CO. 3.3.3 Au surplus, l'appelant a admis qu'il n'avait pas apporté de nouvelles affaires à l'intimée entre 2015 et 2018. Il n'a pas non plus critiqué le raisonnement du Tribunal en tant que celui-ci a retenu qu'il ne pouvait pas prétendre au paiement de 126'750 fr. sur la base d'un autre type de contrat ayant lié les parties, tel qu'un contrat de mandat. Faute de grief motivé sur ce point, il n'y a pas lieu d'examiner cette question plus avant. 3.3.4 En définitive, c'est à bon droit que le Tribunal a débouté l'appelant des fins de sa demande en paiement. Le jugement entrepris sera dès lors confirmé. 4. Les frais judiciaires d'appel, arrêtés à 1'200 fr. (art. 19 al. 3 let. c LaCC; art. 71 RTFMC), seront mis à la charge de l'appelant, qui succombe (art. 106 al. 1 CPC), et compensés avec l'avance de frais fournie par celui-ci, qui demeure acquise à l'Etat de Genève (art. 111 al. 1 CPC). Il n'est pas alloué de dépens d'appel ni d'indemnité pour la représentation en justice dans les causes soumises à la juridiction des prud'hommes (art. 22 al. 2 LaCC). * * * * *</w:t>
      </w:r>
    </w:p>
    <w:p>
      <w:r>
        <w:t>- 18/19 -</w:t>
      </w:r>
    </w:p>
    <w:p>
      <w:r>
        <w:t>C/21979/2019-5</w:t>
      </w:r>
    </w:p>
    <w:p>
      <w:r>
        <w:t>PAR CES MOTIFS, La Chambre des prud'hommes, groupe 5 :</w:t>
      </w:r>
    </w:p>
    <w:p>
      <w:r>
        <w:t>A la forme : Déclare recevable l'appel interjeté le 23 avril 2021 par A______ contre le jugement JTPH/85/2021 rendu le 10 mars 2021 par le Tribunal des prud'hommes dans la cause C/21979/2019-5. Au fond : Confirme ce jugement. Déboute les parties de toutes autres conclusions. Sur les frais : Arrête les frais judiciaires d'appel à 1'200 fr., les met à la charge de A______ et les compense avec l'avance versée, qui demeure acquise à l'Etat de Genève. Dit qu'il n'est pas alloué de dépens d'appel. Siégeant : Madame Nathalie RAPP, présidente;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- 19/19 -</w:t>
      </w:r>
    </w:p>
    <w:p>
      <w:r>
        <w:t>C/21979/2019-5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