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CAPH/11/2016 vom 19. Januar 2016</w:t>
      </w:r>
    </w:p>
    <w:p>
      <w:r>
        <w:t>GE Cour de justice, 2016-01-19, FR</w:t>
      </w:r>
    </w:p>
    <w:p>
      <w:r>
        <w:rPr>
          <w:b/>
        </w:rPr>
        <w:t xml:space="preserve">Quelle: </w:t>
      </w:r>
      <w:r>
        <w:t>https://mcp.opencaselaw.ch/entscheid/ge_gerichte_CAPH_11_2016</w:t>
      </w:r>
    </w:p>
    <w:p>
      <w:r>
        <w:t>FR: GE_GERICHTE CAPH/11/2016 du 19 janvier 2016</w:t>
      </w:r>
    </w:p>
    <w:p>
      <w:r>
        <w:t>IT: GE_GERICHTE CAPH/11/2016 del 19 gennaio 2016</w:t>
      </w:r>
    </w:p>
    <w:p>
      <w:pPr>
        <w:pStyle w:val="Heading2"/>
      </w:pPr>
      <w:r>
        <w:t>Erwägungen</w:t>
      </w:r>
    </w:p>
    <w:p>
      <w:r>
        <w:rPr>
          <w:b/>
        </w:rPr>
        <w:t>E. 1</w:t>
      </w:r>
    </w:p>
    <w:p>
      <w:r>
        <w:t>La décision querellée est une ordonnance d'instruction.</w:t>
      </w:r>
    </w:p>
    <w:p>
      <w:r>
        <w:rPr>
          <w:b/>
        </w:rPr>
        <w:t>E. 1.1</w:t>
      </w:r>
    </w:p>
    <w:p>
      <w:r>
        <w:t>Une telle décision est susceptible de recours immédiat stricto sensu, dans un délai de 10 jours (321 al. 2 CPC), pour violation du droit et constatation manifestement inexacte des faits (art. 320 CPC), pour autant que le recourant soit menacé d'un préjudice difficilement réparable (art. 319 let. b ch. 2 CPC). En l'espèce, le recours a été déposé dans le délai et les formes requis par la loi (art. 321 al. 1 et 2 CPC). Reste à examiner si la décision querellée peut causer à la recourante un préjudice difficilement réparable au sens de l'art. 319 let. b ch. 2 CPC.</w:t>
      </w:r>
    </w:p>
    <w:p>
      <w:r>
        <w:rPr>
          <w:b/>
        </w:rPr>
        <w:t>E. 1.2</w:t>
      </w:r>
    </w:p>
    <w:p>
      <w:r>
        <w:t>La notion de "préjudice difficilement réparable" est plus large que celle de "préjudice irréparable" au sens de l'art. 93 al. 1 let. a LTF (ATF 137 III 380 consid. 2 ; arrêt du Tribunal fédéral 5D_211/2011 du 30 mars 2012 consid. 6.3 ; ACJC/327/2012 du 9 mars 2012 consid. 2.4).</w:t>
      </w:r>
    </w:p>
    <w:p>
      <w:r>
        <w:t>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Retenir le contraire équivaudrait à permettre à un plaideur de contester immédiatement toute ordonnance d'instruction pouvant avoir un effet sur le sort de la cause, ce que le législateur a justement voulu éviter (ACJC/35/2014 du 10 janvier 2014 consid.</w:t>
      </w:r>
    </w:p>
    <w:p>
      <w:r>
        <w:rPr>
          <w:b/>
        </w:rPr>
        <w:t>E. 1.2.1</w:t>
      </w:r>
    </w:p>
    <w:p>
      <w:r>
        <w:t>et références citées).</w:t>
      </w:r>
    </w:p>
    <w:p>
      <w:r>
        <w:t>- 7/10 -</w:t>
      </w:r>
    </w:p>
    <w:p>
      <w:r>
        <w:t>C/7731/2014-4</w:t>
      </w:r>
    </w:p>
    <w:p>
      <w:r>
        <w:t>Un tel préjudice est notamment admis lorsque la sauvegarde de secrets est en jeu ; par exemple, la divulgation forcée de secrets d'affaires est propre à léser irrémédiablement les intérêts juridiques de la partie concernée, en tant qu'elle implique une atteinte définitive à sa sphère privée (arrêt du Tribunal fédéral 4A_195/2010 du 8 juin 2010 consid. 1.1.1). Par secret d'affaires, il faut entendre des connaissances spécifiques que l'employeur veut tenir secrètes et qui touchent à des questions organisationnelles ou financières (arrêt du Tribunal fédéral 4A_31/2010 consid. 2.1 ; AUBERT, in Commentaire romand CO I, 2012, n. 4 ad art. 340 CO).</w:t>
      </w:r>
    </w:p>
    <w:p>
      <w:r>
        <w:t>Il ne suffit cependant pas que la partie requise de produire une pièce affirme que celle-ci contient un secret d'affaires pour que le risque d'un dommage difficilement réparable en cas de production de ladite pièce doive être automatiquement admis (cf. par analogie arrêt du Tribunal fédéral 4A_712/2011 du 13 février 2012 consid. 2.2.2).</w:t>
      </w:r>
    </w:p>
    <w:p>
      <w:r>
        <w:t>La Cour de justice a également admis que la production de documents par une banque comportant les données de clients était susceptible de causer un dommage difficilement réparable, du fait de la violation du secret bancaire (ACJC/604/2015 du 22 mai 2015 consid. 2.1.3 ; CAPH/122/2014 du 25 août 2014 ; ACJC/615/2014 du 23 mai 2014 consid. 1.4.2).</w:t>
      </w:r>
    </w:p>
    <w:p>
      <w:r>
        <w:t>Il appartient au recourant d'alléguer et d'établir la possibilité que la décision incidente lui cause un préjudice difficilement réparable, à moins que cela ne fasse d'emblée aucun doute (par analogie ATF 134 III 426 consid. 1.2 et 133 III 629 consid. 2.3.1).</w:t>
      </w:r>
    </w:p>
    <w:p>
      <w:r>
        <w:t>1.3.1 En l'espèce, la recourante soutient, dans un premier argument, que les documents à produire lui causeraient un préjudice difficilement réparable, dès lors qu'ils contiennent des informations susceptibles d'être concernées par le secret bancaire et/ou d'affaires, sans autres précisions.</w:t>
      </w:r>
    </w:p>
    <w:p>
      <w:r>
        <w:t>Les explications de la recourante à cet égard, à qui le fardeau de la preuve incombe, ne sont pas suffisamment développées, ni étayées. Elle n'allègue pas que les documents en cause contiennent des données relatives à ses clients – excepté le client M. G. dont les documents le concernant ont déjà été produits par la recourante – ou à ses employés sans lien avec cette affaire (secret bancaire) ou encore des données relatives à des connaissances spécifiques liées à sa structure ou ses finances (secret d'affaires), nécessitant de rester confidentielles dans son intérêt, notamment pour la préservation de son image, et pour cause.</w:t>
      </w:r>
    </w:p>
    <w:p>
      <w:r>
        <w:t>Les documents requis concernent uniquement l'intimé, son arrestation en tant que témoin aux Etats-Unis et la procédure afférente, ainsi que ses données personnelles, les rapports ou documents en lien avec cette affaire, transmis par la recourante à la FINMA et aux autorités judiciaires américaines. S'agissant des documents transmis à la FINMA et aux autorités américaines, le Tribunal a</w:t>
      </w:r>
    </w:p>
    <w:p>
      <w:r>
        <w:t>- 8/10 -</w:t>
      </w:r>
    </w:p>
    <w:p>
      <w:r>
        <w:t>C/7731/2014-4 précisé que la recourante était en droit de les caviarder, empêchant la révélation d'éventuels secrets bancaires et/ou d'affaires.</w:t>
      </w:r>
    </w:p>
    <w:p>
      <w:r>
        <w:t>Au regard de la jurisprudence précitée, le simple fait d'invoquer son statut de banque, de sorte que les documents à produire contiennent des informations couvertes par le secret bancaire et/ou d'affaires – comme en l'espèce –, ne peut raisonnablement suffire à admettre un préjudice difficilement réparable au sens de l'art. 319 let. b ch. 2 CPC.</w:t>
      </w:r>
    </w:p>
    <w:p>
      <w:r>
        <w:t>En tous les cas, même si un tel préjudice devait être retenu, les documents requis sont de nature à renseigner le Tribunal sur le motif ayant conduit au licenciement de l'intimé et sur l'éventuelle atteinte à sa personnalité. Ceux-ci sont en effet à même d'établir si d'autres personnes au sein de la banque étaient, ou non, impliquées dans cette affaire et avaient ou non, connaissance de la double nationalité du client M. G., ainsi que sur les éventuelles instructions données aux cadres et aux employés sur ce point, à la suite de l'arrestation de l'intimé.</w:t>
      </w:r>
    </w:p>
    <w:p>
      <w:r>
        <w:t>Ces éléments sont d'autant plus utiles que l'intimé à la charge de la preuve que des motifs de résiliation avancés par la banque étaient fictifs et le fait qu'il ait subi une atteinte à sa personnalité de la recourante, alors même qu'il n'a plus eu accès à son poste de travail dès le 18 avril 2013. Force est ainsi de constater que ce dernier ne dispose pas, au contraire de la banque, des pièces nécessaires à sa défense.</w:t>
      </w:r>
    </w:p>
    <w:p>
      <w:r>
        <w:t>En outre, bien que cette réquisition soit d'une certaine ampleur, le Tribunal l'a circonscrite aux documents concernant l'intimé, son arrestation et la période postérieure au 18 avril 2013. Une telle désignation générique est toutefois admissible, dès lors qu'il est objectivement possible de distinguer les pièces visées par l'ordonnance querellée de celles qui ne le seraient pas, du fait de la référence à une personne et un fait précis, ainsi qu'à compter d'une date précise. Dès lors la production de pièces litigieuses ne consacre pas un cas de «fishing expedition» prohibé par l'ordre juridique suisse (JEANDIN, Code de procédure civile commenté, n° 11 ad art. 160 CPC ; cf. arrêt du Tribunal fédéral 5A_295/2009 du 23 décembre 2009 consid. 2).</w:t>
      </w:r>
    </w:p>
    <w:p>
      <w:r>
        <w:t>1.3.2 Par un deuxième argument, la recourante invoque un préjudice difficilement réparable du fait que les documents à produire sous chiffres 3 et 4 du dispositif de l'ordonnance entreprise concernent des données personnelles au sens de la LPD, de sorte que cette ordonnance la prive des moyens juridiques institués par la loi précitée, soit le droit de restreindre l'accès à ce type de données, et avait été prise en violation de la procédure applicable au sens de cette loi.</w:t>
      </w:r>
    </w:p>
    <w:p>
      <w:r>
        <w:t>Cette argumentation tombe à faux.</w:t>
      </w:r>
    </w:p>
    <w:p>
      <w:r>
        <w:t>Le présent litige ne concerne pas une problématique d'accès aux données personnelles – comme le soutient la recourante –, mais d'administration des preuves dans le cadre d'un procès prud'homal. En effet, la recourante méconnait la</w:t>
      </w:r>
    </w:p>
    <w:p>
      <w:r>
        <w:t>- 9/10 -</w:t>
      </w:r>
    </w:p>
    <w:p>
      <w:r>
        <w:t>C/7731/2014-4 clause d'exception prévue à l'art. 2 al. 2 let. c LPD, dont le but est justement d'éviter un concours objectif de normes, en ce sens que la LPD ne doit pas intervenir dans le déroulement de procédures judiciaires pendantes – comme en l'espèce – (MEIER, Protection des données, Fondements, principes généraux et droit privés, 2010, p. 189 et ss).</w:t>
      </w:r>
    </w:p>
    <w:p>
      <w:r>
        <w:t>En effet, le Tribunal a ordonné à la recourante la production de documents contenant des données personnelles relatives à l'intimé en application des règles de procédure civile, soit celles relatives à l'administration des preuves, dont le devoir des parties de collaborer à celle-ci (art. 160 CPC).</w:t>
      </w:r>
    </w:p>
    <w:p>
      <w:r>
        <w:t>La recourante ne subit dès lors pas de préjudice difficilement réparable à cet égard, d'autant plus, que cette dernière fait valoir son droit de refuser de collaborer (art. 163 CPC) dans le cadre du présent recours.</w:t>
      </w:r>
    </w:p>
    <w:p>
      <w:r>
        <w:t>1.3.3 Enfin, dans un troisième argument, la recourante expose qu'en remettant à l'intimé les documents requis, il y aurait un fort risque que ce dernier les transmette aux autorités américaines, étant donné l'immunité dont il bénéfice en sa qualité de témoin.</w:t>
      </w:r>
    </w:p>
    <w:p>
      <w:r>
        <w:t>S'agissant de ce dernier élément, la recourante allègue pour la première fois dans le cadre de son acte de recours l'immunité qui aurait été octroyée à l'intimé. Ce nouvel allégué n'a en effet pas été invoqué devant les premiers juges. Partant, celui-ci n'est pas recevable, de sorte que ce point ne peut pas être traité par la Cour de céans (art. 326 al. 1 CPC).</w:t>
      </w:r>
    </w:p>
    <w:p>
      <w:r>
        <w:t>En tous les cas, la Cour relève que la banque a déjà transmis de nombreux documents aux autorités américaines dans le cadre de la procédure ouverte aux Etats-Unis.</w:t>
      </w:r>
    </w:p>
    <w:p>
      <w:r>
        <w:t>1.3.4 Au regard de l'ensemble de ce qui précède, le risque d'un préjudice difficilement réparable n'a donc pas été établi par la recourante, de sorte que le présent recours sera déclaré irrecevable.</w:t>
      </w:r>
    </w:p>
    <w:p>
      <w:r>
        <w:rPr>
          <w:b/>
        </w:rPr>
        <w:t>E. 2</w:t>
      </w:r>
    </w:p>
    <w:p>
      <w:r>
        <w:t>La recourante, qui succombe, supportera les frais de son recours (art. 106 al. 1 CPC), arrêtés, frais relatifs à la décision sur effet suspensif compris, à 2'000 fr. (art. 41, 69, 71 RTFMC), couverts par l'avance déjà opérée par elle, acquise à l'Etat (art. 111 al. 1 CPC). Il n'est pas alloué de dépens (art. 22 al. 2 LaCC). * * * * *</w:t>
      </w:r>
    </w:p>
    <w:p>
      <w:r>
        <w:t>- 10/10 -</w:t>
      </w:r>
    </w:p>
    <w:p>
      <w:r>
        <w:t>C/7731/2014-4 PAR CES MOTIFS, La Chambre des prud'hommes, groupe 4 : A la forme : Déclare irrecevable le recours interjeté par A______ contre l'ordonnance d'instruction et de preuves rendue le 8 juin 2015 par le Tribunal des prud'hommes dans la cause C/7731/2014-4. Sur les frais : Arrête les frais judiciaires du recours à 2'000 fr., couverts par l'avance déjà opérée, acquise à l'Etat de Genève. Les met à la charge de A______. Dit qu'il n'est pas alloué de dépens. Siégeant : Madame Nathalie LANDRY-BARTHE, présidente; Monsieur Michel BOHNENBLUST, juge employeur, Madame Christine PFUND, juge salariée; Madame Véronique BULUNDWE-LÉVY, greffière.</w:t>
      </w:r>
    </w:p>
    <w:p>
      <w:r>
        <w:t>La présidente : Nathalie LANDRY-BARTHE</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