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CAPH/119/2022 vom 8. August 2022</w:t>
      </w:r>
    </w:p>
    <w:p>
      <w:r>
        <w:t>GE Cour de justice, 2022-08-08, FR</w:t>
      </w:r>
    </w:p>
    <w:p>
      <w:r>
        <w:rPr>
          <w:b/>
        </w:rPr>
        <w:t xml:space="preserve">Quelle: </w:t>
      </w:r>
      <w:r>
        <w:t>https://mcp.opencaselaw.ch/entscheid/ge_gerichte_CAPH_119_2022</w:t>
      </w:r>
    </w:p>
    <w:p>
      <w:r>
        <w:t>FR: GE_GERICHTE CAPH/119/2022 du 8 août 2022</w:t>
      </w:r>
    </w:p>
    <w:p>
      <w:r>
        <w:t>IT: GE_GERICHTE CAPH/119/2022 del 8 agosto 2022</w:t>
      </w:r>
    </w:p>
    <w:p>
      <w:pPr>
        <w:pStyle w:val="Heading2"/>
      </w:pPr>
      <w:r>
        <w:t>Erwägungen</w:t>
      </w:r>
    </w:p>
    <w:p>
      <w:r>
        <w:rPr>
          <w:b/>
        </w:rPr>
        <w:t>E. 1.1</w:t>
      </w:r>
    </w:p>
    <w:p>
      <w:r>
        <w:t>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142 al. 3 et 311 CPC), l'appel est recevable.</w:t>
      </w:r>
    </w:p>
    <w:p>
      <w:r>
        <w:rPr>
          <w:b/>
        </w:rPr>
        <w:t>E. 1.3</w:t>
      </w:r>
    </w:p>
    <w:p>
      <w:r>
        <w:t>La Cour revoit la cause avec un plein pouvoir d'examen (art. 310 CPC), en appliquant la maxime des débats et le principe de disposition (art. 55 al. 1 cum art. 247 al. 2 let. b ch. 2 CPC a contrario et 58 al. 1 CPC). Elle applique le droit d'office (art. 57 CPC).</w:t>
      </w:r>
    </w:p>
    <w:p>
      <w:r>
        <w:rPr>
          <w:b/>
        </w:rPr>
        <w:t>E. 2</w:t>
      </w:r>
    </w:p>
    <w:p>
      <w:r>
        <w:t>Invoquant la théorie des faits de double pertinence, l'appelant soutient que le Tribunal aurait dû entrer en matière sur sa demande.</w:t>
      </w:r>
    </w:p>
    <w:p>
      <w:r>
        <w:rPr>
          <w:b/>
        </w:rPr>
        <w:t>E. 2.1</w:t>
      </w:r>
    </w:p>
    <w:p>
      <w:r>
        <w:t>La compétence matérielle des tribunaux est du ressort des cantons (art. 4 al. 1 CPC). Selon l'art. 1 al. 1 let. a de la Loi sur le Tribunal des prud'hommes (ci- après: LTPH), ledit Tribunal est compétent pour connaître des litiges découlant d'un contrat de travail, au sens du titre dixième du Code des obligations.</w:t>
      </w:r>
    </w:p>
    <w:p>
      <w:r>
        <w:rPr>
          <w:b/>
        </w:rPr>
        <w:t>E. 2.1.1</w:t>
      </w:r>
    </w:p>
    <w:p>
      <w:r>
        <w:t>Les faits doublement pertinents sont des faits déterminants non seulement pour la compétence du tribunal mais aussi pour le bien-fondé de l'action (ATF 142 III 466 consid. 4.1; arrêt du Tribunal fédéral 4A_619/2020 du 17 février 2021 consid. 2.1.2). Lorsqu'un canton institue une juridiction spécialisée pour connaître des litiges découlant d'un contrat de travail, ledit contrat constitue un fait doublement pertinent (ATF 141 III 294 consid. 5.2; arrêt du Tribunal fédéral 4A_360/2021 du 6 janvier 2022 consid. 5.1.2). Les faits doublement pertinents ne doivent pas être prouvés, mais sont présumés établis sur la seule base des écritures du demandeur. Ainsi, le tribunal saisi examine sa compétence sur la seule base des allégués, moyens et conclusions de la demande, sans tenir compte des contestations du défendeur et sans procéder à aucune administration de preuves. Il faut et il suffit que le demandeur allègue correctement les faits doublement pertinents, c'est-à-dire de telle façon que leur contenu permette au tribunal d'apprécier sa compétence. L'administration des preuves sur les faits doublement pertinents est renvoyée à la phase du procès au cours de laquelle est examiné le bien-fondé de la prétention au fond (ATF 141 III</w:t>
      </w:r>
    </w:p>
    <w:p>
      <w:r>
        <w:t>- 8/15 -</w:t>
      </w:r>
    </w:p>
    <w:p>
      <w:r>
        <w:t>C/10617/2020-4 294 consid. 5.2 et 6.1; 137 II 32 consid. 2.2 et les références citées). Si le demandeur invoque l'existence d'un contrat de travail, il s'agit d'évaluer si ses allégations permettent de conclure à l'existence d'un tel contrat de travail. Cela ne dispense cependant pas le tribunal, dans le cadre de l'examen de sa compétence, d'examiner si les faits à double pertinence allégués par le demandeur - qui sont réputés établis - sont concluants et permettent juridiquement de fonder sa compétence (ATF 141 III 294 consid. 5.2; arrêts du Tribunal fédéral 4A_360/2021 précité consid. 5.1.2; 4A_510/2019 du 29 octobre 2019 consid. 2). S'il se pose une question délicate de délimitation (par exemple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(ATF 137 III 32 consid. 2.4.2; arrêts du Tribunal fédéral 4A_510/2019 précité consid. 2, 4A_573/2015 du 3 mai 2016 consid. 5.2.2). Si, en fonction de l'examen restreint aux éléments précités, le tribunal arrive à la conclusion qu'il n'est pas compétent, il doit rendre une décision d'irrecevabilité (ATF 141 III 294 consid. 5.2; arrêt du Tribunal fédéral 4A_484/2018 précité consid. 5.2). En revanche, s'il admet sa compétence au regard des allégations du demandeur, le tribunal procède alors à l'administration des preuves puis à l'examen du bien- fondé de la prétention au fond (ATF 142 III 467 consid. 4.1; 141 III 294 consid. 5.2; arrêts du Tribunal fédéral 4A_84/2020 du 27 août 2020 consid. 5.2; 4A_484/2018 précité consid. 5.4 et les références citées). Il 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(ATF 141 III 294 consid. 5.3; 136 III 486 consid. 4; arrêt du Tribunal fédéral 4A_619/2020 précité consid. 2.2).</w:t>
      </w:r>
    </w:p>
    <w:p>
      <w:r>
        <w:rPr>
          <w:b/>
        </w:rPr>
        <w:t>E. 2.1.2</w:t>
      </w:r>
    </w:p>
    <w:p>
      <w:r>
        <w:t>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donc une prestation de travail, un rapport de subordination, un élément de durée et une rémunération (arrêts du Tribunal fédéral 4A_360/2021 précité consid. 5.3; 4A_64/2020 du 6 août 2020 consid. 6.1 ; 4A_500/2018 du 11 avril 2019 consid. 4.1 et les références citées). Le contrat de travail se distingue avant tout des autres contrats de prestation de services, en particulier du mandat, par l'existence d'un lien de subordination (ATF 125 III 78 consid. 4 ; 121 I 259 consid. 3a; 112 II 41 consid. 1a), qui place le</w:t>
      </w:r>
    </w:p>
    <w:p>
      <w:r>
        <w:t>- 9/15 -</w:t>
      </w:r>
    </w:p>
    <w:p>
      <w:r>
        <w:t>C/10617/2020-4 travailleur dans la dépendance de l'employeur sous l'angle personnel, organisationnel et temporel ainsi que, dans une certaine mesure, économique. Le travailleur est assujetti à la surveillance, aux ordres et instructions contraignantes de l'employeur. Il est intégré dans l'organisation de travail d'autrui et y reçoit une place déterminée (arrêts du Tribunal fédéral 4A_366/2021 du 28 janvier 2022 consid. 4.1.2.1; 4A_64/2020 précité consid. 6.3.1; 4A_500/2018 précité consid. 4.1). Le critère de la subordination doit toutefois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(arrêts du Tribunal fédéral 4A_366/2021 précité consid. 4.1.2.1; 4A_592/2016 du 16 mars 2017 consid. 2.1). Il convient de privilégier les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4A_500/2018 précité consid. 4.1 et les références citées). En cas de doute sur la qualification du contrat, d'autres indices sont à disposition. Ainsi, les clauses prévoyant un délai de congé, un temps d'essai, des vacances, un salaire en cas de maladie, une interdiction de concurrence sont des clauses typiques du contrat de travail (MEIER, in Commentaire romand, CO I, 3e éd. 2021, n. 15 ad art. 319 CO). Sont également considérés comme des indices de la conclusion d'un contrat de travail : l'existence d'un traitement fixe ou de rapports contractuels d'une certaine durée; le fait de devoir respecter le même horaire que les collaborateurs et d'annoncer ses absences, ou encore d'exercer son activité dans les locaux de l'employeur et d'utiliser le matériel fourni par celui-ci, son papier à lettres ou son adresse électronique; l'obligation de remettre des rapports périodiques d'activité, de devoir participer à des réunions hebdomadaires ou de devoir visiter un certain nombre de clients; le devoir du travailleur de mettre en oeuvre toutes ses forces au service de son employeur ou encore, le prélèvement de</w:t>
      </w:r>
    </w:p>
    <w:p>
      <w:r>
        <w:t>- 10/15 -</w:t>
      </w:r>
    </w:p>
    <w:p>
      <w:r>
        <w:t>C/10617/2020-4 cotisations sociales sur la rémunération due, ainsi que la qualification d'activité lucrative dépendante, opérée par les autorités fiscales ou en matière d'assurances sociales (DUNAND, in Commentaire du contrat de travail, 2013, n. 31 ad art. 319 CO, pp. 8 s. et les références citées), étant précisé que ce dernier critère n'est pas déterminant à lui seul (arrêts du Tribunal fédéral 4A_713/2016 du 21 avril 2017 consid. 4.2 ; 4A_592/2016 du 16 mars 2017 consid. 2.1.).</w:t>
      </w:r>
    </w:p>
    <w:p>
      <w:r>
        <w:rPr>
          <w:b/>
        </w:rPr>
        <w:t>E. 2.1.3</w:t>
      </w:r>
    </w:p>
    <w:p>
      <w:r>
        <w:t>Se distingue du contrat de travail, le contrat d'agence régi aux art. 418a ss CO.</w:t>
      </w:r>
    </w:p>
    <w:p>
      <w:r>
        <w:t>Selon l'art. 418a al. 1 CO, l'agent est celui qui prend à titre permanent l'engagement de négocier la conclusion d'affaires pour un ou plusieurs mandants ou d'en conclure en leur nom et pour leur compte, sans être lié envers eux par un contrat de travail. Selon la jurisprudence, l'agent est un représentant qui doit établir ou maintenir la liaison entre l'entreprise qu'il représente et la clientèle (ATF 137 III 32 consid. 2.4.2; 129 III 664 consid. 3.2).</w:t>
      </w:r>
    </w:p>
    <w:p>
      <w:r>
        <w:t>L'agent peut organiser son travail comme il l'entend, disposer de son temps à sa guise et n'est pas lié par les instructions et directives de son cocontractant. Le fait de devoir visiter un certain nombre de clients, d'avoir à justifier un chiffre d'affaires minimum, l'obligation d'adresser des rapports périodiques à la maison représentée sont des indices permettant d'inférer l'existence d'un contrat d'engagement des voyageurs de commerce, qui est un contrat individuel de travail à caractère spécial (ATF 129 III 664 consid. 3.2; arrêt du Tribunal fédéral 4A_533/2012 du 6 février 2013 consid. 2.4.</w:t>
      </w:r>
    </w:p>
    <w:p>
      <w:r>
        <w:rPr>
          <w:b/>
        </w:rPr>
        <w:t>E. 2.1.4</w:t>
      </w:r>
    </w:p>
    <w:p>
      <w:r>
        <w:t>La qualification juridique d'un contrat se base sur le contenu de celui-ci (ATF 144 III 43 consid. 3.3), déterminé en recherchant la réelle et commune intention des parties (art. 18 al. 1 CO) ou, si une telle intention ne peut être constatée, selon le principe de la confiance (ATF 145 III 365 consid. 3.2.1; 144 III 43 consid. 3.3; 140 III 134 consid. 3.2). Pour déterminer la nature du contrat, qui est une question de droit, le juge n'est lié ni par la qualification effectuée par les parties ni par les expressions ou dénominations inexactes dont les parties ont pu se servir soit par erreur, soit pour déguiser la nature véritable de la convention (art. 18 al. 1 CO; ATF 131 III 217 consid. 3; 129 III 664 consid. 3.1; arrêt du Tribunal fédéral 4A_53/2021 du 21 septembre 2021 consid. 5.1.1).</w:t>
      </w:r>
    </w:p>
    <w:p>
      <w:r>
        <w:rPr>
          <w:b/>
        </w:rPr>
        <w:t>E. 2.2</w:t>
      </w:r>
    </w:p>
    <w:p>
      <w:r>
        <w:t>En l'espèce, il n'est pas contesté que l'existence du contrat de travail allégué par l'appelant constitue un fait doublement pertinent puisque celui-ci est pertinent tant pour la compétence que pour le fond. Cet élément doit donc être examiné, dans un premier temps, sur la seule base de la demande.</w:t>
      </w:r>
    </w:p>
    <w:p>
      <w:r>
        <w:t>- 11/15 -</w:t>
      </w:r>
    </w:p>
    <w:p>
      <w:r>
        <w:t>C/10617/2020-4 Dans sa demande du 13 novembre 2020, l'appelant a soutenu que le contrat conclu entre les parties, intitulé "contrat d'agence", devait être requalifié en contrat de travail et a formé des prétentions typiques de ce contrat (indemnités pour travail supplémentaire, pour des frais imposés par l'exécution du travail ou encore pour vacances non prises et en remise d'un certificat de travail). Il a allégué que malgré l'intitulé du contrat, l'intimée avait une mainmise complète sur son activité et la manière dont il la menait, ne disposant ainsi d'aucune liberté inhérente à une activité indépendante. L'intimée lui avait imposé les locaux de l'agence, la manière de communiquer ainsi que les outils de marketing et s'ingérait dans l'accomplissement de son activité, notamment dans la gestion de son personnel. De plus, il dépendait d'une ligne hiérarchique qui encadrait étroitement son activité et à qui il devait régulièrement rendre des comptes, sans compter le contrôle illimité dont l'intimée disposait sur son agence. Par ailleurs, il dépendait du budget annuel alloué par l'intimée et de la prise en charge par celle-ci d'une partie importante des charges de son agence. Selon sa version des faits, l'appelant était soumis à une dépendance complète, aussi bien d'un point de vue logistique, organisationnel que financier, vis-à-vis de l'intimée. L'appelant a ainsi allégué les éléments susceptibles d'être constitutifs d'un contrat de travail, en particulier un fort lien de subordination, sans qu'aucun élément ne permette de retenir que les faits invoqués seraient manifestement faux, étant relevé que ses allégués sont en partie étayés par les pièces produites, dont la documentation contractuelle. Dans l'examen de sa compétence à raison de la matière, le Tribunal ne s'est pas limité à un examen prima facie des allégués, moyens et conclusions de la demande, comme l'impose la théorie de la double pertinence. Il s'est livré à un examen sur la nature juridique du contrat litigieux conclu entre les parties en procédant à une appréciation, à tout le moins partielle, des faits et des preuves sur la question du lien de subordination et du caractère indépendant de l'activité de l'appelant et en s'écartant des allégués de l'appelant. Il a, en effet, retenu des faits qui n'étaient pas allégués et certains critères formels, tels que les termes et la teneur du contrat ou le versement de cotisations sociales, alors même que l'appelant plaidait que cela ne représentait pas la manière dont son activité était effectivement menée, citant divers exemples à l'appui. Ce faisant, le Tribunal a méconnu la théorie des faits de double pertinence, qui lui imposait à ce stade, sous réserve d'un abus de droit, s'en tenir aux allégués de la demande, qui n'avaient pas à être prouvés. La délimitation entre un contrat de travail et un contrat d'agence, compte tenu de l'ensemble des éléments allégués, n'apparaît en l'occurrence pas si évidente. Le Tribunal a d'ailleurs procédé sans réserve à réception de la demande, en requérant une demande de frais et en transmettant l'écriture et ses pièces à l'intimée en l'invitant à y répondre par écrit sur le fond. Les écritures des parties, qui</w:t>
      </w:r>
    </w:p>
    <w:p>
      <w:r>
        <w:t>- 12/15 -</w:t>
      </w:r>
    </w:p>
    <w:p>
      <w:r>
        <w:t>C/10617/2020-4 comprennent respectivement environ nonante et quarante pages en première instance et plus de septante et cinquante pages en seconde instance, sans compter les trois classeurs de pièces, reflètent d'elles-mêmes la complexité de la distinction à effectuer. Au vu de ce qui précède, l'existence d'un contrat de travail ne saurait être d'emblée exclue au vu des allégations de l'appelant. La question de l'existence d'un contrat de travail devra être tranchée lors de l'examen du bien-fondé de la prétention au fond. A ce stade de la procédure, en application de la théorie de la double pertinence, il n'y pas lieu de tenir compte des contestations ni des allégations de sa partie adverse. La position du défendeur ne joue, en effet, aucun rôle pour les faits doublement pertinents, ceux-ci étant présumés établis sur la seule base des allégués du demandeur. L'intimée ne peut être suivie lorsqu'elle soutient qu'il y aurait lieu de faire exception à l'application de la théorie de la double pertinence en raison d'un abus de droit commis de la part de l'appelant. En effet, attendu que le contrat de travail et celui d'agence présentent certaines similitudes ainsi que des critères communs et que leur distinction n'est, dans le cas présent, pas d'une facilité flagrante, on ne saurait reprocher à l'appelant de considérer être lié à l'intimée par un contrat de travail et, partant, d'avoir saisi les juridictions spécialisées en la matière. La compétence ratione materiae des juridictions des prud'hommes doit dès lors être admise à ce stade, indépendamment des contestations de l'intimée et sans préjudice quant à la décision à rendre sur le fond, sur la qualification du contrat notamment. Le jugement sera annulé et la cause renvoyée au Tribunal pour qu'il entre en matière sur la demande formée par l'appelant.</w:t>
      </w:r>
    </w:p>
    <w:p>
      <w:r>
        <w:rPr>
          <w:b/>
        </w:rPr>
        <w:t>E. 3</w:t>
      </w:r>
    </w:p>
    <w:p>
      <w:r>
        <w:t>Compte tenu du renvoi de la cause au Tribunal, le sort des frais de première instance sera réglé avec le jugement final de première instance (art. 104 al. 1 CPC).</w:t>
      </w:r>
    </w:p>
    <w:p>
      <w:r>
        <w:t>Les frais judiciaires d'appel seront arrêtés à 5'000 fr., tenant compte de la valeur litigieuse mais également du fait que la procédure s'est limitée à la recevabilité de la demande sous l'angle de la théorie de la double pertinence (art. 7 et 71 RTFMC). Ces frais seront mis à la charge de l'intimée qui succombe (art. 106 al. 1 CPC) et entièrement compensés avec l'avance fournie à hauteur de 10'000 fr. par l'appelant, laquelle demeure acquise à l'Etat de Genève à due concurrence (art. 111 al. 1 CPC). L'intimée sera en conséquence condamnée à verser 5'000 fr. à l'appelant à titre de restitution partielle de l'avance versée. Les Services financiers seront, quant à eux, invités à verser le même montant de 5'000 fr. à l'appelant à titre de restitution du solde des frais.</w:t>
      </w:r>
    </w:p>
    <w:p>
      <w:r>
        <w:t>- 13/15 -</w:t>
      </w:r>
    </w:p>
    <w:p>
      <w:r>
        <w:t>C/10617/2020-4 L'intimée sera, en outre, condamnée à verser à l'appelant la somme de 5'000 fr., débours compris (art. 25 LaCC), mais sans TVA compte tenu du domicile de celui-ci à l'étranger (ATF 141 IV 344 consid. 4.1), à titre de dépens d'appel (art. 84, 85, 87 et 90 RTFMC; art. 23 al. 1 LaCC).</w:t>
      </w:r>
    </w:p>
    <w:p>
      <w:r>
        <w:t>* * * * *</w:t>
      </w:r>
    </w:p>
    <w:p>
      <w:r>
        <w:t>- 14/15 -</w:t>
      </w:r>
    </w:p>
    <w:p>
      <w:r>
        <w:t>C/10617/2020-4 PAR CES MOTIFS, La Chambre des prud'hommes, groupe 4 : A la forme : Déclare recevable l'appel interjeté le 25 mai 2021 par A______ contre le jugement JTPH/135/2021 rendu le 21 avril 2021 par le Tribunal des prud'hommes dans la cause C/10617/2020 – 4. Au fond : Annule ce jugement. Renvoie la cause au Tribunal des prud'hommes pour qu'il entre en matière sur la demande formée le 13 novembre 2020 par A______ contre B______ SA. Déboute les parties de toutes autres conclusions. Sur les frais : Arrête les frais judiciaires d'appel à 5'000 fr., dit qu'ils sont entièrement compensés avec l'avance de frais fournie qui demeure acquise à l'Etat de Genève à due concurrence et les met à la charge d'B______ SA. Condamne B______ SA à verser 5'000 fr. à A______ à titre de frais judiciaire d'appel. Invite les Services financiers du Pouvoir judiciaire à verser 5'000 fr. à l'appelant à titre de restitution du solde des frais. Condamne B______ SA à verser 5'000 fr. à A______ à titre de dépens d'appel. Siégeant : Monsieur Laurent RIEBEN, président; Madame Ana ROUX, juge salarié, Madame Nadia FAVRE, juge employeur; Madame Chloé RAMAT, greffière.</w:t>
      </w:r>
    </w:p>
    <w:p>
      <w:r>
        <w:t>- 15/15 -</w:t>
      </w:r>
    </w:p>
    <w:p>
      <w:r>
        <w:t>C/10617/2020-4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