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CAPH/118/2018 vom 17. August 2018</w:t>
      </w:r>
    </w:p>
    <w:p>
      <w:r>
        <w:t>GE Cour de justice, 2018-08-17, FR</w:t>
      </w:r>
    </w:p>
    <w:p>
      <w:r>
        <w:rPr>
          <w:b/>
        </w:rPr>
        <w:t xml:space="preserve">Quelle: </w:t>
      </w:r>
      <w:r>
        <w:t>https://mcp.opencaselaw.ch/entscheid/ge_gerichte_CAPH_118_2018</w:t>
      </w:r>
    </w:p>
    <w:p>
      <w:r>
        <w:t>FR: GE_GERICHTE CAPH/118/2018 du 17 août 2018</w:t>
      </w:r>
    </w:p>
    <w:p>
      <w:r>
        <w:t>IT: GE_GERICHTE CAPH/118/2018 del 17 agosto 2018</w:t>
      </w:r>
    </w:p>
    <w:p>
      <w:pPr>
        <w:pStyle w:val="Heading2"/>
      </w:pPr>
      <w:r>
        <w:t>Erwägungen</w:t>
      </w:r>
    </w:p>
    <w:p>
      <w:r>
        <w:rPr>
          <w:b/>
        </w:rPr>
        <w:t>E. 1</w:t>
      </w:r>
    </w:p>
    <w:p>
      <w:r>
        <w:t>L'appel, écrit et motivé, formé dans les trente jours, est recevable contre les décisions finales de première instance, lorsque la valeur litigieuse, au dernier état des conclusions de première instance, est supérieure à 10'000 fr. (art. 308 CPC, 311 CPC). Ces conditions sont réalisées en l'occurrence, de sorte que l'appel est recevable.</w:t>
      </w:r>
    </w:p>
    <w:p>
      <w:r>
        <w:rPr>
          <w:b/>
        </w:rPr>
        <w:t>E. 2</w:t>
      </w:r>
    </w:p>
    <w:p>
      <w:r>
        <w:t>L'appelant fait grief au Tribunal d'avoir procédé à une constatation inexacte des faits. Ceux-ci, en tant qu'ils étaient pertinents, ont été intégrés directement dans l'état de faits dressé ci-dessus, l'instance d'appel disposant d'un plein pouvoir d'examen en fait et en droit.</w:t>
      </w:r>
    </w:p>
    <w:p>
      <w:r>
        <w:rPr>
          <w:b/>
        </w:rPr>
        <w:t>E. 3</w:t>
      </w:r>
    </w:p>
    <w:p>
      <w:r>
        <w:t>L'appelant reproche aux premiers juges de ne pas avoir retenu qu'il avait droit à une rémunération de la totalité de son droit aux vacances et de ne pas avoir procédé à un calcul sur des bases correctes.</w:t>
      </w:r>
    </w:p>
    <w:p>
      <w:r>
        <w:rPr>
          <w:b/>
        </w:rPr>
        <w:t>E. 3.1</w:t>
      </w:r>
    </w:p>
    <w:p>
      <w:r>
        <w:t>L'employeur doit verser au travailleur le salaire total afférent aux vacances (art. 329d al. 1 CO).</w:t>
      </w:r>
    </w:p>
    <w:p>
      <w:r>
        <w:t>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w:t>
      </w:r>
    </w:p>
    <w:p>
      <w:r>
        <w:t>- 5/8 -</w:t>
      </w:r>
    </w:p>
    <w:p>
      <w:r>
        <w:t>C/9422/2016-4 La doctrine, analysant des cas d'espèce soumis au Tribunal fédéral, propose de retenir qu'une compensation est possible dans une proportion du quart au tiers de la libération de l'obligation de travailler (WYLER/HEINZER, Droit du travail, 3ème éd. 2014 p. 390; STREIFF/VON KAENEL/RUDOLF, Arbeitsvertrag, 7ème éd. 2012, n. 11 ad art. 329c).</w:t>
      </w:r>
    </w:p>
    <w:p>
      <w:r>
        <w:rPr>
          <w:b/>
        </w:rPr>
        <w:t>E. 3.2</w:t>
      </w:r>
    </w:p>
    <w:p>
      <w:r>
        <w:t>Lorsque le salaire est fixe, il est aisé de déterminer sa quotité. Une distinction est nécessaire selon que le travailleur bénéficie de son droit aux vacances pendant la période de référence ou après. Lorsque le travailleur n'a pu bénéficier de ses vacances pendant la période de référence, le rapport 5/47 s'applique si le droit annuel est de cinq semaines. Lorsque le travailleur n'a que partiellement bénéficié de son droit aux vacances pendant l'exercice-vacances correspondant, la doctrine propose l'équation suivante: ([nombre de mois dans la période de référence multiplié par le nombre de semaines de vacances par année de service divisé par 12] moins nombre de semaines déjà prises) multiplié par (nombre de semaines par année de service divisé par [52 moins nombre de semaines de vacances par année de service] augmenté de 1), multiplié par (montant du salaire annuel brut divisé par 52) (WYLER/HEINZER, op. cit., p. 400, 401).</w:t>
      </w:r>
    </w:p>
    <w:p>
      <w:r>
        <w:rPr>
          <w:b/>
        </w:rPr>
        <w:t>E. 3.3</w:t>
      </w:r>
    </w:p>
    <w:p>
      <w:r>
        <w:t>En l'espèce, il est acquis que l'appelant bénéficiait de 18,5 jours de vacances, qu'il lui a été demandé de prendre durant son délai de congé, lequel comptait 45 jours ouvrables. En application de l'avis de la doctrine concrétisant la jurisprudence en la matière rappelé ci-dessus, les jours de vacances qui pouvaient être compensés étaient de l'ordre de 11 (1/4 de 45) à 15 (1/3 de 45).</w:t>
      </w:r>
    </w:p>
    <w:p>
      <w:r>
        <w:t>Il ressort par ailleurs du courrier de licenciement du 26 octobre 2012 que l'appelant était libéré de son obligation de travailler mais devait rester à disposition de l'intimée. Bien que l'appelant ait offert sa propre audition en preuve de son allégué selon lequel il n'avait pu prendre de jours de vacances en raison de son engagement de rester à disposition et de rechercher un travail, il n'a fait aucune déclaration au Tribunal sur ce point; il n'a pas non plus expressément contesté l'allégué de l'intimée selon lequel il lui avait été indiqué qu'il pouvait prendre des vacances durant la période considérée, dans la mesure où il n'était attendu de lui que d'être atteignable au sujet d'affaires que lui seul connaissait.</w:t>
      </w:r>
    </w:p>
    <w:p>
      <w:r>
        <w:t>Il y a dès lors lieu de retenir que l'employé n'était pas empêché de s'absenter, en particulier n'étant pas exposé à la contrainte de se rendre sur son lieu de travail, tout en devant faire en sorte d'être atteignable, ce qui limitait, mais très partiellement, sa liberté de prise effective de vacances. Des échanges de courriels produits par l'appelant résulte qu'il a reçu à une reprise, durant son préavis, un message en provenance de son employeur et de la déclaration du témoin C______ qu'il a été contacté à deux ou trois reprises, durant</w:t>
      </w:r>
    </w:p>
    <w:p>
      <w:r>
        <w:t>- 6/8 -</w:t>
      </w:r>
    </w:p>
    <w:p>
      <w:r>
        <w:t>C/9422/2016-4 quelques minutes. L'employé a donc été, de fait, très brièvement à la disposition de l'intimée, dans le cadre limité que celle-ci avait fixé. Il a, par ailleurs, démontré par la production de quatre courriels qu'il avait pris quelques contacts en vue d'un nouvel emploi durant la même période, sans qu'il puisse toutefois être retenu qu'il a consacré un temps tel qu'il n'aurait pas été en mesure de prendre des jours de vacances. En définitive, au vu de l'ensemble de ces circonstances, il apparaît que le résultat auquel le Tribunal est parvenu, à savoir que l'intimée restait devoir la rémunération de 12,5 jours de vacances, ce que celle-ci ne remet pas en question, pourra être confirmé. L'appelant critique encore le calcul opéré par les premiers juges, en soumettant pour sa part une opération arithmétique dont l'intimée souligne à raison qu'elle est erronée. Le montant dû s'établit ainsi, sur la base de l'équation développée par la doctrine rappelée ci-dessus, en tenant compte du droit aux vacances annuel pour 2015 dont l'appelant a déjà exercé une partie (soit 6,5 jours correspondant à 1,3 semaines): (12 [mois de l'année 2015] x 5 [semaines de droit aux vacances] : 12) – 1,3 [semaines déjà prises en 2015] x (5 [semaines de droit aux vacances] : 52 – 5 [semaines de droit aux vacances]) + 1 x (180'000 fr. : 52) = 14'088,40, représentant le solde dû pour 18,5 jours de vacances, soit 9'519 fr. 15 pour 12,5 [(14'088,40 : 18,5) x 12,5 jours de vacances dus. Le chiffre 3 du dispositif du jugement entrepris sera dès lors annulé et il sera statué à nouveau dans le sens de ce qui précède. Ce résultat, certes légèrement supérieur à ce qui avait été alloué en première instance, ne justifie pas une modification de la répartition des frais du Tribunal, auquel avaient été soumis deux autres chefs de conclusion, dont l'un portait sur 75'000 fr., qui ont été rejetés.</w:t>
      </w:r>
    </w:p>
    <w:p>
      <w:r>
        <w:rPr>
          <w:b/>
        </w:rPr>
        <w:t>E. 4</w:t>
      </w:r>
    </w:p>
    <w:p>
      <w:r>
        <w:t>Il ne sera pas perçu d'émolument de décision d'appel (art. 71 RTFMC); l'avance perçue de l'appelant lui sera restituée. Il n'est pas alloué de dépens (art. 22 al. 2 LaCC).</w:t>
      </w:r>
    </w:p>
    <w:p>
      <w:r>
        <w:t>* * * * *</w:t>
      </w:r>
    </w:p>
    <w:p>
      <w:r>
        <w:t>- 7/8 -</w:t>
      </w:r>
    </w:p>
    <w:p>
      <w:r>
        <w:t>C/9422/2016-4 PAR CES MOTIFS, La Chambre des prud'hommes, groupe 4 : A la forme : Déclare recevable l'appel formé par A______ contre les chiffres 3 et 7 à 9 du jugement rendu le 12 décembre 2017 par le Tribunal des prud'hommes. Au fond : Annule le chiffre 3 du dispositif de ce jugement, et statuant à nouveau sur ce point: Condamne B______ BV à verser à A______ le montant brut de 9'519 fr. 15 avec intérêts moratoires à 5% l'an dès le 1er janvier 2013. Confirme le jugement entrepris pour le surplus. Déboute les parties de toutes autres conclusions. Sur les frais d'appel: Dit qu'il n'y a pas lieu à perception de frais judiciaires. Invite les Services financiers du Pouvoir judiciaire à restituer 1'500 fr. à A______. Siégeant : Madame Sylvie DROIN, présidente; Monsieur Olivier GROMETTO, juge employeur; Monsieur Thierry ZEHNDER, juge salarié; Madame Véronique BULUNDWE-LEVY, greffière.</w:t>
      </w:r>
    </w:p>
    <w:p>
      <w:r>
        <w:t>- 8/8 -</w:t>
      </w:r>
    </w:p>
    <w:p>
      <w:r>
        <w:t>C/9422/2016-4</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