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CAPH/116/2004 vom 23. August 2004</w:t>
      </w:r>
    </w:p>
    <w:p>
      <w:r>
        <w:t>GE Cour de justice, 2004-08-23, FR</w:t>
      </w:r>
    </w:p>
    <w:p>
      <w:r>
        <w:rPr>
          <w:b/>
        </w:rPr>
        <w:t xml:space="preserve">Quelle: </w:t>
      </w:r>
      <w:r>
        <w:t>https://mcp.opencaselaw.ch/entscheid/ge_gerichte_CAPH_116_2004</w:t>
      </w:r>
    </w:p>
    <w:p>
      <w:r>
        <w:t>FR: GE_GERICHTE CAPH/116/2004 du 23 août 2004</w:t>
      </w:r>
    </w:p>
    <w:p>
      <w:r>
        <w:t>IT: GE_GERICHTE CAPH/116/2004 del 23 agosto 2004</w:t>
      </w:r>
    </w:p>
    <w:p>
      <w:pPr>
        <w:pStyle w:val="Heading2"/>
      </w:pPr>
      <w:r>
        <w:t>Regeste</w:t>
      </w:r>
    </w:p>
    <w:p>
      <w:r>
        <w:t>Résumé: T est directrice des relations clientèles auprès d'E. Le 29 avril, E résilie les rapports de travail pour le 30 juin 2002. Les parties signent une convention selon laquelle, moyennant un accord de T sur la fin des rapports de travail au 30 juin 2002, elle aurait droit à une indemnité de départ de près de fr. 32'000.-. T a été libérée de l'obligation de travailler le 30 avril 2002. Le 26 juin, T fait parvenir à E un certificat d'incapacité de travail, incapacité qui perdurera jusqu'au 24 juin 2004. Les rapports de travail ont finalement pris fin le 30 septembre 2002. E n'a pas versé l'indemnité de départ convenue, que T réclame, en sus d'indemnité de vacances. La Cour confirme le jugement du Tribunal, qui a relevé que la convention ne contrevenait pas à l'art. 341 CO et a procédé à son interprétation conformément au principe de la confiance. Il en résulte que T n'avait droit à une indemnité de départ que pour autant que les rapports de travail prennent fin au 30 juin 2002, ce qui n'a pas été le cas en l'espèce en raison de son incapacité de travail. Dès lors, elle est déboutée de ce chef de prétention. Elle a par ailleurs droit au paiement de 8 jours de vacances sur 18, 10 jours ayant pu être pris durant la période de libération de l'obligation de travailler.</w:t>
      </w:r>
    </w:p>
    <w:p>
      <w:pPr>
        <w:pStyle w:val="Heading2"/>
      </w:pPr>
      <w:r>
        <w:t>Erwägungen</w:t>
      </w:r>
    </w:p>
    <w:p>
      <w:r>
        <w:rPr>
          <w:b/>
        </w:rPr>
        <w:t>E. 1</w:t>
      </w:r>
    </w:p>
    <w:p>
      <w:r>
        <w:t>L’appel respecte le délai et la forme prescrits par la loi. Il est, partant, recevable.</w:t>
      </w:r>
    </w:p>
    <w:p>
      <w:r>
        <w:t>La cognition de la Cour d’appel est complète.</w:t>
      </w:r>
    </w:p>
    <w:p>
      <w:r>
        <w:rPr>
          <w:b/>
        </w:rPr>
        <w:t>E. 2</w:t>
      </w:r>
    </w:p>
    <w:p>
      <w:r>
        <w:t>Après le temps d’essai, l’employeur ne peut pas résilier le contrat lorsque le tra- vailleur est incapable de travailler en raison d’une maladie non imputable à faute; la durée maximale de la protection varie en fonction des années de service (art. 336a al. 1 litt. b CO). Le congé qui intervient pendant la période de protection est nul; s’il a été donné avant et que le délai de résiliation n’a pas encore expiré, ce dernier est suspendu et ne continue à courir qu’après la fin de la période de protec- tion (art. 336c al. 2 CO). Lorsque les rapports de travail doivent cesser à la fin d’un mois et que ce terme ne coïncide pas avec la fin du délai de congé qui a re- commencé à courir, ce délai est prolongé jusqu’à la fin du mois (art. 336c al. 3 CO). Selon la jurisprudence, le délai – légal ou conventionnel – de congé au sens de l’art. 336c al. 2 CO ne commence pas à courir à sa réception, mais doit être cal- culé rétroactivement à partir de l’échéance du contrat (ATF 115 V 437 consid. 3b et réf. citées).</w:t>
      </w:r>
    </w:p>
    <w:p>
      <w:r>
        <w:t>A teneur de l'art. 341 al. 1 CO, le travailleur ne peut pas renoncer, pendant la du- rée du contrat et durant le mois qui suit la fin de celui-ci, aux créances résultant de dispositions impératives de la loi ou d'une convention collective. Selon la jurispru- dence, cette disposition, qui prohibe la renonciation unilatérale du travailleur à des créances résultant du rapport de travail, n’interdit pas aux parties de rompre en tout temps le contrat d’un commun accord, pour autant qu’elles ne cherchent pas, par ce biais, à contourner une disposition impérative de la loi, ce malgré le carac- tère relativement impératif de l’art. 336c CO (ATF 119 II 449 consid. 2a; 118 II 58 consid. 2b).</w:t>
      </w:r>
    </w:p>
    <w:p>
      <w:r>
        <w:t>Ainsi, l’article 336c CO ne s’applique pas lorsque les parties mettent fin aux rap- ports de travail d’un commun accord, pour autant que ce dernier comporte des concessions réciproques, et qu’il s’agisse clairement d’un cas de transaction (Auf- hebungsvertrag ATF 119 II 449; 118 II 58 consid. 2b; 110 II 168 consid. 3b).</w:t>
      </w:r>
    </w:p>
    <w:p>
      <w:r>
        <w:t>In casu, les premiers juges ont, à juste titre, retenu que la convention des parties du 30 avril 2002 ne contrevenait pas à l’art. 341 CO.</w:t>
      </w:r>
    </w:p>
    <w:p>
      <w:r>
        <w:t>En effet, il résulte des termes clairs de l’accord que, moyennant acceptation de la fin des rapports de travail au 30 juin 2002 et renonciation à toute autre prétention à l’encontre de l’employeur, l’employée, dispensée de travailler depuis le 29 avril</w:t>
      </w:r>
    </w:p>
    <w:p>
      <w:r>
        <w:t>Juridiction des prud’hommes</w:t>
      </w:r>
    </w:p>
    <w:p>
      <w:r>
        <w:t>Cause n° C/12887/2003-4 8</w:t>
      </w:r>
    </w:p>
    <w:p>
      <w:r>
        <w:t>* COUR D’APPEL *</w:t>
      </w:r>
    </w:p>
    <w:p>
      <w:r>
        <w:t>2002, devait percevoir une indemnité équivalente à quatre mois de salaire, et une indemnité de vacances pour l'intégralité des jours de vacances lui restant à pren- dre; le projet de convention lui réservait en outre la possibilité de travailler avant l'échéance du délai de congé sans devoir imputer son nouveau salaire sur celui versé par son précédent employeur, avantage auquel elle a toutefois déclaré renon- cer, réclamant la modification du chiffre 3 de la convention dans le sens plus res- trictif de la lettre de licenciement. Dès lors, cet accord présente bien un caractère transactionnel et il est, partant, admissible au regard de l’art. 341 CO.</w:t>
      </w:r>
    </w:p>
    <w:p>
      <w:r>
        <w:rPr>
          <w:b/>
        </w:rPr>
        <w:t>E. 3</w:t>
      </w:r>
    </w:p>
    <w:p>
      <w:r>
        <w:t>S’agissant de la portée de l’accord du 30 avril 2002, les premiers juges se sont en outre avec raison référés à l’art. 18 CO.</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 prétant leurs déclarations de volonté selon le principe de la confiance, à savoir d'après le sens qu'un destinataire pouvait et devait leur donner (ATF 121 III 123; ATF 115 II 269 consid. 5a; ATF 107 II 229 consid. 4). C'est alors le contenu ob- jectivé du contrat qu'il y a lieu de déterminer. Pour y parvenir, le juge peut notam- ment s'inspirer du texte même de l'accord, des circonstances ayant entouré sa con- clusion, des circonstances antérieures ou postérieures à la conclusion, du but pour- suivi par les parties et des usages (ATF 101 II 277 = JdT 1976 I 323; ATF 97 II 72 = JdT 1972 I 531; Gauch, Schluep, Tercier, Partie générale du droit des obliga- 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 neur d'une clause contractuelle paraît claire à première vue, il peut résulter d'au- tres conditions du contrat, du but poursuivi par les parties ou d'autres circonstan- ces que le texte de ladite clause ne restitue pas exactement le sens de l'accord con-</w:t>
      </w:r>
    </w:p>
    <w:p>
      <w:r>
        <w:t>Juridiction des prud’hommes</w:t>
      </w:r>
    </w:p>
    <w:p>
      <w:r>
        <w:t>Cause n° C/12887/2003-4 9</w:t>
      </w:r>
    </w:p>
    <w:p>
      <w:r>
        <w:t>* COUR D’APPEL *</w:t>
      </w:r>
    </w:p>
    <w:p>
      <w:r>
        <w:t>clu (ATF 127 III 444 consid. 1b, SJ 2002 I p. 149, ATF in SJ 2002 I p. 574 con- sid. 2.2).</w:t>
      </w:r>
    </w:p>
    <w:p>
      <w:r>
        <w:t>En l’espèce, il résulte du texte clair de l’accord du 30.4.2002 que, d’une manière générale, les parties ont tenu compte d’une fin des rapports de travail au 30 juin 2002 : les ch. 1 à 7 font expressément référence à cette date. Tel est ainsi le cas, notamment, du calcul du droit aux vacances, du treizième salaire, du versement du salaire en cas de prise d'emploi durant le délai de congé, enfin de l'indemnité de départ. En particulier, le chiffre 5 de l’accord précise, de manière explicite, que l’indemnité de départ est allouée « pour autant que » la fin des rapports de travail corresponde au 30 juin 2002, formulation qui constitue une condition suspensive.</w:t>
      </w:r>
    </w:p>
    <w:p>
      <w:r>
        <w:t>Compte tenu de sa formulation, le texte de l’accord - rédigé par l’employeur - ne pouvait être compris par l’employée que comme une acceptation par elle d’une fin des rapports de travail au 30 juin 2002, moyennant quoi les prestations promises lui seraient versées, à l’exclusion de toutes autres et pour solde de tous comptes.</w:t>
      </w:r>
    </w:p>
    <w:p>
      <w:r>
        <w:t>Le texte clair de la convention est par ailleurs conforme à l’économie de l’accord et aux autres circonstances : le but des parties était en effet de mettre un terme dé- finitif à leurs rapports, pour solde de tous comptes, au 30 juin 2002. Par la suite, l’employée n’a d’ailleurs jamais réclamé paiement des jours de vacances afférents à la période de la prolongation du contrat de travail, soit du 30 juin au 30 septem- bre 2002; ce n’est enfin que le 26 octobre 202 qu’elle a réclamé le paiement de « la somme convenue », probablement à titre d’indemnité de départ, sans toutefois apporter plus de précision dans son courrier.</w:t>
      </w:r>
    </w:p>
    <w:p>
      <w:r>
        <w:t>Enfin, aucun vice de consentement n’est invoqué par l’employée, qui a accepté l’accord proposé après l’avoir soumis à un conseil professionnellement qualifié et qui a suggéré des amendements, acceptés par l’employeur. Bien plus, en octobre 2002, l’employée a expressément confirmé, par l’organe de son avocat, qu’elle se considérait liée par l’accord du 30 avril 2002.</w:t>
      </w:r>
    </w:p>
    <w:p>
      <w:r>
        <w:t>La Cour retient dès lors que la volonté des parties était bien de soumettre l’enga- gement de l’employeur, s’agissant tant du versement de l’indemnité de départ que de l’indemnité-vacances, à la condition suspensive que les rapports de travail prennent fin au 30 juin 2002.</w:t>
      </w:r>
    </w:p>
    <w:p>
      <w:r>
        <w:t>Cette condition ne s’est toutefois pas réalisée, puisque l’employée s’est, à la suite de son incapacité de travail dès le 26 juin 2002, prévalu de l’art. 336c al. 2 CO pour obtenir, à la faveur de la suspension du délai de congé, un report de la fin des relations de travail au 30 septembre 2002.</w:t>
      </w:r>
    </w:p>
    <w:p>
      <w:r>
        <w:t>Devant la Cour, l’appelante entend en vain tirer argument des courriers échangés avec LA BANQUE en octobre 2002 : rien dans leur formulation ne permet en effet de retenir que les parties (et plus particulièrement LA BANQUE) entendaient</w:t>
      </w:r>
    </w:p>
    <w:p>
      <w:r>
        <w:t>Juridiction des prud’hommes</w:t>
      </w:r>
    </w:p>
    <w:p>
      <w:r>
        <w:t>Cause n° C/12887/2003-4 10</w:t>
      </w:r>
    </w:p>
    <w:p>
      <w:r>
        <w:t>* COUR D’APPEL *</w:t>
      </w:r>
    </w:p>
    <w:p>
      <w:r>
        <w:t>renoncer à la condition suspensive prévue (soit l’expiration des rapports de travail au 30 juin 2002).</w:t>
      </w:r>
    </w:p>
    <w:p>
      <w:r>
        <w:t>Contrairement à ce que soutient encore l’appelante, LA BANQUE n’est ainsi pas revenue unilatéralement sur son engagement en refusant de verser les indemnités promises, elle n’a fait que se prévaloir du fait que la condition suspensive à la- quelle son engagement était soumis ne s’était pas réalisée.</w:t>
      </w:r>
    </w:p>
    <w:p>
      <w:r>
        <w:t>Il en résulte que les engagements pris aux chiffres 4 et 5 de l’accord du 30 avril 2002 ne peuvent être opposés à LA BANQUE et que l’employée ne peut, partant, pas prétendre sur cette base au versement d’une indemnité de départ et de l’in- demnité-vacances convenues.</w:t>
      </w:r>
    </w:p>
    <w:p>
      <w:r>
        <w:t>Point n’est dès lors besoin d’examiner si, comme l’ont retenu les premiers juges, l’accord passé n’a plus concédé aucun avantage notoire à T_______ en contrepar- tie de sa renonciation à faire valoir toute prétention contre l’employeur et qu’il n’était dès lors « plus exécutable », ou encore si les parties y ont tacitement renon- cé en suspendant le congé et en repoussant l’échéance des rapports de travail au 30 septembre 2002, enfin si, à la suite de la modification essentielle des circons- tances présidant à sa conclusion, l'accord n'était plus compatible avec l'art 341 CO et se trouvait dès lors frappé de nullité en application de cette disposition.</w:t>
      </w:r>
    </w:p>
    <w:p>
      <w:r>
        <w:rPr>
          <w:b/>
        </w:rPr>
        <w:t>E. 4</w:t>
      </w:r>
    </w:p>
    <w:p>
      <w:r>
        <w:t>La prétention de T_______ à recevoir une indemnité de départ ne trouve pour le surplus aucun fondement contractuel, les parties ne soutenant pas qu’une telle in- demnité aurait été prévue dans le contrat de travail. Par ailleurs, aucune circons- tance n’est invoquée, conduisant à retenir le caractère abusif du licenciement et à allouer à l’employé une indemnité de ce chef. Enfin, il est constant que la résilia- tion du contrat de travail est intervenue donné moyennant respect du délai de con- gé, même si l’employée a été dispensée de travailler dès le 29 avril 2002, ce qui exclut aussi une indemnité au sens de l’art. 337c al. 3 CO.</w:t>
      </w:r>
    </w:p>
    <w:p>
      <w:r>
        <w:t>Le jugement entrepris doit, partant, être confirmé, en tant qu’il déboute l’appe- lante de ses conclusions de ce chef.</w:t>
      </w:r>
    </w:p>
    <w:p>
      <w:r>
        <w:rPr>
          <w:b/>
        </w:rPr>
        <w:t>E. 5</w:t>
      </w:r>
    </w:p>
    <w:p>
      <w:r>
        <w:t>En cas de résiliation ordinaire du contrat de travail par l'employeur, les vacances doivent en principe être prises pendant le délai de congé et l'employeur ne peut contraindre le salarié à les reporter après l'échéance du contrat (art. 329d al. 2 CO; ATF 106 II 154). Toutefois, une fois le contrat dénoncé, le travailleur doit dispo- ser du temps nécessaire pour la recherche d’un autre emploi (art. 329 al. 3 CO), recherche qui incompatible avec la prise effective de vacances. Il convient dès lors d’examiner, dans chaque cas, au vu de l'ensemble des circonstances, telles que la durée du délai de congé, la difficulté à trouver un autre travail s'agissant de l'em- ploi considéré, et le solde de jours de vacances à prendre, si l'employeur peut exi- ger que les vacances soient prises pendant le délai de congé ou s'il doit indemniser</w:t>
      </w:r>
    </w:p>
    <w:p>
      <w:r>
        <w:t>Juridiction des prud’hommes</w:t>
      </w:r>
    </w:p>
    <w:p>
      <w:r>
        <w:t>Cause n° C/12887/2003-4 11</w:t>
      </w:r>
    </w:p>
    <w:p>
      <w:r>
        <w:t>* COUR D’APPEL *</w:t>
      </w:r>
    </w:p>
    <w:p>
      <w:r>
        <w:t>le travailleur de ce chef à la fin des rapports de travail (ATF du 24.11.1992 cité par AUBERT in SJ 1993 p. 354; BRUNNER/BÜHLER/WAEBER, Commentaire du contrat de travail, ad art. 329d CO N° 4; AUBERT, Le droit des vacances: quelques problèmes pratiques, in Journée 1990 du droit du travail et de la sécurité sociale, p. 129/130; STREIFF/VON KAENEL, Arbeitsvertrag, ad art. 329c CO N° 11).</w:t>
      </w:r>
    </w:p>
    <w:p>
      <w:r>
        <w:t>En l’espèce, l’appelante se borne à réclamer une indemnité-vacances au 30 juin 2002, sans tenir compte de la suspension du délai de congé, soit de la période du 1er juillet au 30 septembre 2002, ce qui dispense la Cour d’examiner la question.</w:t>
      </w:r>
    </w:p>
    <w:p>
      <w:r>
        <w:t>Il est constant que l’appelante disposait, au 30 juin 2002, d’un solde de 18 jours de vacances à prendre, alors que le délai de congé était de 63 jours. Les premiers juges ont considéré qu’il pouvait lui être imposé d’en prendre 10 durant le délai de congé.</w:t>
      </w:r>
    </w:p>
    <w:p>
      <w:r>
        <w:t>L’appel est exempt de motivation sur le sujet, ce qui dispense déjà la Cour de revoir la question.</w:t>
      </w:r>
    </w:p>
    <w:p>
      <w:r>
        <w:t>Au demeurant, l’appréciation des premiers juges doit être confirmée, pour les mo- tifs retenus dans des considérants auxquels la Cour se rallie.</w:t>
      </w:r>
    </w:p>
    <w:p>
      <w:r>
        <w:rPr>
          <w:b/>
        </w:rPr>
        <w:t>E. 6</w:t>
      </w:r>
    </w:p>
    <w:p>
      <w:r>
        <w:t>Ce qui précède conduit à la confirmation du jugement entrepris.</w:t>
      </w:r>
    </w:p>
    <w:p>
      <w:r>
        <w:t>Il ne sera pas alloué de dépens, les parties n’ayant pas plaidé de manière téméraire (art. 12, 13 et 29 LJP; art. 343 CO; ATF n. P. du 20 décembre 1994, cause S.I. R. c. V; note d'Aubert in SJ 1987 p. 574).</w:t>
      </w:r>
    </w:p>
    <w:p>
      <w:r>
        <w:t>L’appelante, qui succombe, supportera les frais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