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CAPH/115/2017 vom 14. August 2017</w:t>
      </w:r>
    </w:p>
    <w:p>
      <w:r>
        <w:t>GE Cour de justice, 2017-08-14, FR</w:t>
      </w:r>
    </w:p>
    <w:p>
      <w:r>
        <w:rPr>
          <w:b/>
        </w:rPr>
        <w:t xml:space="preserve">Quelle: </w:t>
      </w:r>
      <w:r>
        <w:t>https://mcp.opencaselaw.ch/entscheid/ge_gerichte_CAPH_115_2017</w:t>
      </w:r>
    </w:p>
    <w:p>
      <w:r>
        <w:t>FR: GE_GERICHTE CAPH/115/2017 du 14 août 2017</w:t>
      </w:r>
    </w:p>
    <w:p>
      <w:r>
        <w:t>IT: GE_GERICHTE CAPH/115/2017 del 14 agosto 2017</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w:t>
      </w:r>
    </w:p>
    <w:p>
      <w:r>
        <w:t>- 8/20 -</w:t>
      </w:r>
    </w:p>
    <w:p>
      <w:r>
        <w:t>C/27013/2015-1</w:t>
      </w:r>
    </w:p>
    <w:p>
      <w:r>
        <w:t>Il a été déposé dans le délai de 30 jours à compter de la notification de la décision motivée (art. 145 al. 1 let. a et 311 al. 1 CPC) et il respecte au surplus la forme prescrite (art. 130, 131 et 311 CPC).</w:t>
      </w:r>
    </w:p>
    <w:p>
      <w:r>
        <w:t>Il est ainsi recevable.</w:t>
      </w:r>
    </w:p>
    <w:p>
      <w:r>
        <w:rPr>
          <w:b/>
        </w:rPr>
        <w:t>E. 1.2</w:t>
      </w:r>
    </w:p>
    <w:p>
      <w:r>
        <w:t>Formé par l'intimé dans sa réponse à l'appel dans les forme et délai prévus par la loi, l'appel joint est également recevable (art. 313 al. 1 CPC).</w:t>
      </w:r>
    </w:p>
    <w:p>
      <w:r>
        <w:t>Par souci de simplification et pour respecter le rôle initial des parties en appel, A______ sera désignée en qualité d'appelante et B______ en qualité d'intimé.</w:t>
      </w:r>
    </w:p>
    <w:p>
      <w:r>
        <w:rPr>
          <w:b/>
        </w:rPr>
        <w:t>E. 1.3</w:t>
      </w:r>
    </w:p>
    <w:p>
      <w:r>
        <w:t>La Cour, pour autant qu'elle soit compétente, ce qui sera examiné au consid. 2 ci-dessous, revoit la cause avec un plein pouvoir d'examen en fait et en droit (art. 310 CPC).</w:t>
      </w:r>
    </w:p>
    <w:p>
      <w:r>
        <w:rPr>
          <w:b/>
        </w:rPr>
        <w:t>E. 1.4</w:t>
      </w:r>
    </w:p>
    <w:p>
      <w:r>
        <w:t>La valeur litigieuse étant inférieure à 30'000 fr. (22'137 fr. 90 + 7'333 fr. 30 = 29'471 fr. 20), la procédure simplifiée est applicable au présent litige (art. 243 al. 1 CPC). La cause est soumise aux maximes inquisitoire (art. 247 al. 2 let. b ch. 2 CPC) et de disposition (art. 58 al. 1 CPC).</w:t>
      </w:r>
    </w:p>
    <w:p>
      <w:r>
        <w:rPr>
          <w:b/>
        </w:rPr>
        <w:t>E. 2</w:t>
      </w:r>
    </w:p>
    <w:p>
      <w:r>
        <w:t>Les parties ont produit des pièces nouvelles.</w:t>
      </w:r>
    </w:p>
    <w:p>
      <w:r>
        <w:rPr>
          <w:b/>
        </w:rPr>
        <w:t>E. 2.1</w:t>
      </w:r>
    </w:p>
    <w:p>
      <w:r>
        <w:t>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t>Cette disposition régit de manière complète et autonome la possibilité pour les parties d'invoquer des faits et moyens de preuve nouveaux, sans faire d'exception pour les cas où le juge établit les faits d'office (ATF 138 III 625 c. 2.2). Sont toutefois réservés les faits notoires, qu'il n'est pas nécessaire d'alléguer ni de prouver,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w:t>
      </w:r>
    </w:p>
    <w:p>
      <w:r>
        <w:rPr>
          <w:b/>
        </w:rPr>
        <w:t>E. 2.2</w:t>
      </w:r>
    </w:p>
    <w:p>
      <w:r>
        <w:t>En l'espèce, la CCT nouvellement produite par l'appelante et ses annexes, accessible par internet et donc considérée comme notoire, est recevable. Le</w:t>
      </w:r>
    </w:p>
    <w:p>
      <w:r>
        <w:t>- 9/20 -</w:t>
      </w:r>
    </w:p>
    <w:p>
      <w:r>
        <w:t>C/27013/2015-1 Tribunal aurait pu en prendre connaissance quand bien même l'appelante ne l'avait pas produite en première instance.</w:t>
      </w:r>
    </w:p>
    <w:p>
      <w:r>
        <w:t>Les rapports de chantier produits par l'intimé sont irrecevables, puisque celui-ci n'explique pas les raisons pour lesquelles il ne les a pas déposés en temps utile au Tribunal.</w:t>
      </w:r>
    </w:p>
    <w:p>
      <w:r>
        <w:rPr>
          <w:b/>
        </w:rPr>
        <w:t>E. 3</w:t>
      </w:r>
    </w:p>
    <w:p>
      <w:r>
        <w:t>L'appelante conteste la compétence du Tribunal pour statuer sur le litige.</w:t>
      </w:r>
    </w:p>
    <w:p>
      <w:r>
        <w:rPr>
          <w:b/>
        </w:rPr>
        <w:t>E. 3.1</w:t>
      </w:r>
    </w:p>
    <w:p>
      <w:r>
        <w:t>La compétence du Tribunal des prud'hommes suppose que les parties aient été liées par un contrat de travail (art. 1 let. a LTPH).</w:t>
      </w:r>
    </w:p>
    <w:p>
      <w:r>
        <w:t>Lorsque l'examen de la compétence du Tribunal se recoupe avec celui du bien- fondé de la demande (i. e. la question de l'existence ou non d'un contrat de travail),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(ATF 131 III 153 consid. 5.1; 122 II 249 consid. 3b/bb). Autrement dit: à ce stade de la procédure, le juge s'appuie sur les allégués, moyens et conclusions de la demande, sans tenir compte des objections de la partie défenderesse (ATF 141 III 294 consid. 5.2; arrêt du Tribunal fédéral 4A_73/2015 du 26 juin 2015 consid. 4.1.2 et les références citées).</w:t>
      </w:r>
    </w:p>
    <w:p>
      <w:r>
        <w:rPr>
          <w:b/>
        </w:rPr>
        <w:t>E. 3.2</w:t>
      </w:r>
    </w:p>
    <w:p>
      <w:r>
        <w:t>En l’espèce, le premier juge a, par application de la théorie des faits doublement pertinents, considéré la demande en paiement de l’intimé recevable. Pour ce faire, il s’est fondé sur la thèse et les conclusions de ce dernier, basées uniquement sur le titre X du Code des obligations, estimant ainsi envisageable l’existence d’un contrat de travail entre les parties.</w:t>
      </w:r>
    </w:p>
    <w:p>
      <w:r>
        <w:t>Le Tribunal a par conséquent admis avec raison sa compétence à raison de la matière et la recevabilité de la demande.</w:t>
      </w:r>
    </w:p>
    <w:p>
      <w:r>
        <w:rPr>
          <w:b/>
        </w:rPr>
        <w:t>E. 4</w:t>
      </w:r>
    </w:p>
    <w:p>
      <w:r>
        <w:t>L'appelante reproche au Tribunal une violation des art. 8 CC et 319 CO pour avoir considéré que les parties étaient liées par un contrat de travail. Elle soutient qu'elle devait suivre les instructions de l'intimé, qui disposait de toute latitude pour organiser son temps et qui n'avait développé aucune activité durant plusieurs mois pour l'entreprise ni effectué de contrôle inopiné. Il n'était pas astreint à une obligation de présence dans les bureaux de l'entreprise. Elle reproche au Tribunal d'avoir considéré que l'art. 9 OIBT imposait nécessairement la conclusion d'un contrat de travail.</w:t>
      </w:r>
    </w:p>
    <w:p>
      <w:r>
        <w:t>4.1.1 Selon l'art. 394 al. 1 CO, le mandat est un contrat par lequel le mandataire s'oblige, dans les termes de la convention, à gérer l'affaire dont il s'est chargé ou à rendre les services qu'il a promis.</w:t>
      </w:r>
    </w:p>
    <w:p>
      <w:r>
        <w:t>- 10/20 -</w:t>
      </w:r>
    </w:p>
    <w:p>
      <w:r>
        <w:t>C/27013/2015-1</w:t>
      </w:r>
    </w:p>
    <w:p>
      <w:r>
        <w:t>Le mandat peut être révoqué ou répudié en tout temps (art. 404 al. 1 CO).</w:t>
      </w:r>
    </w:p>
    <w:p>
      <w:r>
        <w:t>4.1.2 Par le contrat individuel de travail, le travailleur s'engage, pour une durée déterminée ou indéterminée, à travailler au service de l'employeur et celui-ci à payer un salaire fixé d'après le temps ou le travail fourni (art. 319 al. 1 CO).</w:t>
      </w:r>
    </w:p>
    <w:p>
      <w:r>
        <w:t>Les éléments caractéristiques de ce contrat sont donc une prestation de travail, un rapport de subordination, un élément de durée et une rémunération (arrêt du Tribunal fédéral 4A_200/2015 du 3 septembre 2015 consid. 4.2.1).</w:t>
      </w:r>
    </w:p>
    <w:p>
      <w:r>
        <w:t>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arrêt du Tribunal fédéral 4A_200/2015 du 3 septembre 2015 consid. 4.2.1 et les références citées). Le travailleur est assujetti à la surveillance, aux ordres et instructions de l'employeur; il est intégré dans l'organisation du travail d'autrui et y reçoit une place déterminée (ATF 125 III 78 consid. 4; arrêt du Tribunal fédéral 4A_200/2015 du 3 septembre 2015 consid. 4.2.1 et les références citées). Le mandataire, en revanche, doit certes suivre les instructions du mandant,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(ATF 125 III 78 consid. 4; arrêt du Tribunal fédéral 4A_200/2015 du 3 septembre 2015 consid. 4.2.1 et les références citées).</w:t>
      </w:r>
    </w:p>
    <w:p>
      <w:r>
        <w:t>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4A_200/2015 du 3 septembre 2015 consid. 4.2.2 et la référence citée).</w:t>
      </w:r>
    </w:p>
    <w:p>
      <w:r>
        <w:t>4.1.3 Selon l'art. 9 al. 1 OIBT, l'autorisation générale d'installer est accordée aux entreprises qui a) occupent une personne du métier (définie à l'art. 8 OIBT), intégrée de telle sorte qu'elle puisse surveiller efficacement les travaux d'installation (responsable technique) et b) offrent toute garantie qu'elles se conformeront aux prescriptions de la présente ordonnance.</w:t>
      </w:r>
    </w:p>
    <w:p>
      <w:r>
        <w:t>Selon l'Inspection fédérale des installations à courant fort, la surveillance est efficace si la personne du métier est suffisamment intégrée dans l'entreprise, ce qui demande un contrat de travail (Confédération suisse, ESTI, Surveillance</w:t>
      </w:r>
    </w:p>
    <w:p>
      <w:r>
        <w:t>- 11/20 -</w:t>
      </w:r>
    </w:p>
    <w:p>
      <w:r>
        <w:t>C/27013/2015-1 technique efficace des travaux d'installations, Quelles sont les obligations d'une personne du métier ? p. 69, disponible sur &lt;http://www.esti.admin.ch/files/ aktuell/2014-11_wirksame_aufsicht_f.pdf&gt;).</w:t>
      </w:r>
    </w:p>
    <w:p>
      <w:r>
        <w:t>Selon l'art. 9 al. 3 OIBT, lorsqu'une entreprise emploie le responsable technique à temps partiel, l'autorisation générale d'installer est accordée seulement a) si le taux d'occupation du responsable est d'au moins 20 %, b) si la charge de travail correspond au taux d'occupation et c) si le responsable occupe cette fonction dans trois entreprises, au plus.</w:t>
      </w:r>
    </w:p>
    <w:p>
      <w:r>
        <w:rPr>
          <w:b/>
        </w:rPr>
        <w:t>E. 4.2</w:t>
      </w:r>
    </w:p>
    <w:p>
      <w:r>
        <w:t>En l'espèce, selon les termes de son contrat, l'intimé était subordonné au directeur de l'entreprise; il devait intervenir sur instruction du responsable du département d'1______ qui lui indiquait les chantiers à contrôler; il devait remettre à ce dernier l'avis d'installation au terme de son analyse. L'intimé était donc assujetti à des responsables hiérarchiques. Le fait que l'appelante se soit engagée à suivre les instructions de l'intimé est uniquement dû à l'obligation fédérale qui lui est imposée de faire vérifier ses installations électriques par un homme de métier. Elle se fiait en réalité à ses compétences particulières, pour lesquelles elle l'avait engagé, et prenait les mesures qui s'imposaient sur la base de ses recommandations, plutôt qu'elle ne suivait ses instructions, comme un subordonné.</w:t>
      </w:r>
    </w:p>
    <w:p>
      <w:r>
        <w:t>L'intimé était employé à temps partiel, à la différence d'un mandataire qui détermine le temps à consacrer à l'exécution de ses services.</w:t>
      </w:r>
    </w:p>
    <w:p>
      <w:r>
        <w:t>Il disposait d'une grande latitude dans l'organisation de son temps, ce qui n'est pas incompatible avec le statut d'employé aux qualifications élevées devant se rendre sur différents chantiers. Il percevait un salaire mensuel, augmenté d'un treizième salaire, était assujetti au paiement des cotisations sociales et à la prévoyance professionnelle, au contraire d'un mandataire qui facture ses honoraires et supporte le risque économique de son activité professionnelle.</w:t>
      </w:r>
    </w:p>
    <w:p>
      <w:r>
        <w:t>Le contrat incluait une clause de résiliation, tandis que le mandat est résiliable en tout temps.</w:t>
      </w:r>
    </w:p>
    <w:p>
      <w:r>
        <w:t>Enfin, le statut d'employé résulte des exigences de l'OIBT.</w:t>
      </w:r>
    </w:p>
    <w:p>
      <w:r>
        <w:t>Toutes les caractéristiques du contrat de travail sont ainsi réalisées.</w:t>
      </w:r>
    </w:p>
    <w:p>
      <w:r>
        <w:t>L'argument de l'appelante selon lequel l'intimé n'aurait pas travaillé durant certaines périodes n'est pas pertinent, parce que c'est elle qui aurait dû, le cas échéant, lui donner suffisamment de travail pour l'occuper au taux d'activité convenu.</w:t>
      </w:r>
    </w:p>
    <w:p>
      <w:r>
        <w:t>- 12/20 -</w:t>
      </w:r>
    </w:p>
    <w:p>
      <w:r>
        <w:t>C/27013/2015-1</w:t>
      </w:r>
    </w:p>
    <w:p>
      <w:r>
        <w:t>Le Tribunal a ainsi retenu avec raison la conclusion d'un contrat de travail par les parties.</w:t>
      </w:r>
    </w:p>
    <w:p>
      <w:r>
        <w:rPr>
          <w:b/>
        </w:rPr>
        <w:t>E. 5</w:t>
      </w:r>
    </w:p>
    <w:p>
      <w:r>
        <w:t>S'agissant des vacances, l'appelante reproche au Tribunal d'avoir appliqué la CCT. Elle soutient que l'intimé n'y est pas assujetti en raison de sa qualité de cadre, aucune contribution paritaire n'ayant été au surplus perçue sur son salaire. L'intimé ne s'était pas prévalu de celle-ci, puisqu'il n'avait réclamé le paiement que de 5 semaines de vacances par an, la CCT en accordant 6 dès l'âge de 55 ans. Par ailleurs, l'appelante reproche au Tribunal une violation des art. 9 Cst. et 320 let. b CPC pour avoir retenu que l'intimé n'avait pas pris toutes ses vacances. Enfin, le Tribunal avait omis de considérer la fermeture de l'entreprise en fin d'année et de déduire deux semaines de vacances à l'intimé.</w:t>
      </w:r>
    </w:p>
    <w:p>
      <w:r>
        <w:t>L'appelante reproche, enfin, au Tribunal de ne pas avoir retenu l'abus de droit (art. 2 CC) alors que l'intimé n'a ni demandé à prendre ses vacances durant la relation contractuelle ni à en être indemnisé au terme de chaque année civile.</w:t>
      </w:r>
    </w:p>
    <w:p>
      <w:r>
        <w:t>L'intimé reproche à l'appelante de ne pas lui avoir remis une copie de la CCT en cause, ce qu'elle a admis, ce qu'il qualifie de manquement au devoir d'informer incombant à l'employeur. Il conteste avoir eu un statut de cadre de l'entreprise, qui ne ressort pas de son contrat de travail. En outre, il n'était pas un membre d'un organe dirigeant de celle-ci ni n'était inscrit au Registre du commerce.</w:t>
      </w:r>
    </w:p>
    <w:p>
      <w:r>
        <w:t>5.1.1 Selon l'art. 329a CO, disposition à laquelle il ne peut être dérogé en défaveur du travailleur (art. 362 al. 1 CO), l'employeur accorde au travailleur, chaque année de service, quatre semaines de vacances au moins (al. 1). Les vacances sont fixées proportionnellement à la durée des rapports de travail lorsque l'année de service n'est pas complète (al. 3).</w:t>
      </w:r>
    </w:p>
    <w:p>
      <w:r>
        <w:t>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AUBERT, in Commentaire romand, Code des obligations I, 2003, n° 7 ad art. 329a CO).</w:t>
      </w:r>
    </w:p>
    <w:p>
      <w:r>
        <w:t>5.1.2 Par la convention collective, des employeurs ou associations d'employeurs, d'une part, et des associations de travailleurs, d'autre part, établissent en commun des clauses notamment sur la conclusion, l'objet et la fin des contrats individuels de travail entre employeurs et travailleurs intéressés (art. 356 al. 1 et al. 2 CO). Lorsque plusieurs associations d'employeurs ou de travailleurs sont liées par la convention, soit pour avoir pris part à sa conclusion, soit pour y avoir adhéré ultérieurement avec le consentement des parties, elles ont les unes envers les autres les mêmes droits et obligations; tout accord contraire est nul (al. 4).</w:t>
      </w:r>
    </w:p>
    <w:p>
      <w:r>
        <w:t>- 13/20 -</w:t>
      </w:r>
    </w:p>
    <w:p>
      <w:r>
        <w:t>C/27013/2015-1</w:t>
      </w:r>
    </w:p>
    <w:p>
      <w:r>
        <w:t>Selon l'art. 357 al. 1 CO, les clauses normatives de la convention collective de travail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ATF 141 III 418 consid. 2.1, 139 III 60 consid. 5.1).</w:t>
      </w:r>
    </w:p>
    <w:p>
      <w:r>
        <w:t>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(ATF 141 III 418 consid. 2.1, 139 III 60 consid. 5.1).</w:t>
      </w:r>
    </w:p>
    <w:p>
      <w:r>
        <w:t>Un autre cas de figure se présente lorsque la CCT contient une clause faisant obligation aux employeurs liés par elle d'appliquer ses dispositions normatives à tous leurs employés, qu'ils soient membres d'une association de travailleurs ou non (clause d'égalité de traitement ou clause d'extension; ATF 141 III 418 consid. 2.1, 139 III 60 consid. 5.1). Une telle clause s'analyse comme une stipulation pour autrui en faveur des travailleurs non syndiqués (ATF 139 III 60 consid. 5.2; arrêt du Tribunal fédéral 4A_515/2014 du 26 février 2015 consid. 2.5).</w:t>
      </w:r>
    </w:p>
    <w:p>
      <w:r>
        <w:t>Dans l'ATF 139 III 60 consid. 5.2, le Tribunal fédéral a opéré la distinction suivante :</w:t>
      </w:r>
    </w:p>
    <w:p>
      <w:r>
        <w:t>- lorsque la clause d'égalité de traitement (ou d'extension) figure dans une CCT passée par une association d'employeurs, le travailleur non lié censé bénéficier de la CCT ne dispose d'aucun moyen direct de faire respecter la convention à son égard, car il s'agit d'une stipulation imparfaite; il peut uniquement demander que les parties à la CCT interviennent auprès de l'employeur lié.</w:t>
      </w:r>
    </w:p>
    <w:p>
      <w:r>
        <w:t>- En revanche, lorsque la clause d'extension figure dans une convention collective d'entreprise, le promettant n'est pas une association d'employeurs, mais l'employeur lui-même. Si la volonté des parties à la convention est d'accorder un droit propre au travailleur non syndiqué, rien n'empêche ce dernier d'agir directement contre l'employeur pour obtenir le respect de la CCT, en vertu d'une stipulation pour autrui parfaite.</w:t>
      </w:r>
    </w:p>
    <w:p>
      <w:r>
        <w:t>Pour déterminer si la clause d'égalité de traitement figurant dans la CCT doit être interprétée comme une stipulation pour autrui parfaite, il y a lieu d'interpréter la volonté des parties et de prendre en considération toutes les circonstances, dont en particulier les termes utilisés (ATF 139 III 60 consid. 5.3 et la référence citée). Le Tribunal fédéral l'a admis à propos d'une CCT applicable à tout le personnel de</w:t>
      </w:r>
    </w:p>
    <w:p>
      <w:r>
        <w:t>- 14/20 -</w:t>
      </w:r>
    </w:p>
    <w:p>
      <w:r>
        <w:t>C/27013/2015-1 l'entreprise (sauf les cadres), alors que la participation aux frais d'exécution de la CCT était prélevée sur les salaires de tous les travailleurs soumis à celle-ci et que la convention et ses annexes faisaient partie intégrante du contrat de travail (ATF 139 III 60 consid. 5.3; arrêt du Tribunal fédéral 4A_515/2014 du 26 février 2015 consid. 2.5).</w:t>
      </w:r>
    </w:p>
    <w:p>
      <w:r>
        <w:t>En vertu des règles de la bonne foi (art. 2 al. 1 CC), l'employeur ne peut pas, par une stipulation pour autrui parfaite, accorder aux travailleurs non organisés des droits tirés d'une convention collective et, par ailleurs, limiter ces droits par le biais d'un accord contractuel, par exemple en incorporant au contrat de travail les dispositions moins favorables d'une autre convention (ATF 139 II 60 consid. 5.4).</w:t>
      </w:r>
    </w:p>
    <w:p>
      <w:r>
        <w:t>5.1.3 La CCT ne définit pas la notion de "cadres", qu'elle exclut de son champ d'application.</w:t>
      </w:r>
    </w:p>
    <w:p>
      <w:r>
        <w:t>Il en va de même du CO, de sorte que la notion de cadre est indéterminée et sujette à plusieurs acceptions (DUNAND, Commentaire du contrat de travail, 2013, n. 65 ad art. 321c CO). Selon BRUCHEZ, il s'agit du "personnel d'encadrement" (Droit collectif du travail, 2010, p. 182, n. 80).</w:t>
      </w:r>
    </w:p>
    <w:p>
      <w:r>
        <w:t>La notion de "fonction dirigeante élevée" est, au contraire, définie par l'art. 9 OLT 1 [Ordonnance 1 relative à la loi sur le travail du 10 mai 2000, RS 822.111), selon lequel exerce une telle fonction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w:t>
      </w:r>
    </w:p>
    <w:p>
      <w:r>
        <w:t>Selon la jurisprudence y relative,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Cette question doit être tranchée de cas en cas, sans égard ni au titre ni à la formation reçue par la personne concernée, mais d'après la nature réelle de la fonction et en tenant compte des dimensions de l'entreprise (arrêt du Tribunal fédéral 4C.424/1999 consid. 3c, non publié in ATF 126 III 337).</w:t>
      </w:r>
    </w:p>
    <w:p>
      <w:r>
        <w:t>5.1.4 Lorsque le travailleur n'a pu bénéficier de ses vacances pendant la période de référence, le pourcentage est de 8,33% (précisément 8,333%) si le droit annuel est de 4 semaines annuelles et de 13,04% (précisément 13,043%) si le celui-ci est de six semaines (WYLER/HEINZER, Droit du travail, 3ème éd., 2014, p. 400).</w:t>
      </w:r>
    </w:p>
    <w:p>
      <w:r>
        <w:t>- 15/20 -</w:t>
      </w:r>
    </w:p>
    <w:p>
      <w:r>
        <w:t>C/27013/2015-1</w:t>
      </w:r>
    </w:p>
    <w:p>
      <w:r>
        <w:t>L'indemnité pour vacances non prises se calcule sur la base du salaire complet, y compris le treizième salaire (arrêt du Tribunal fédéral 4A_161/2016 du 13 décembre 2016 consid. 2.1 et les références citées).</w:t>
      </w:r>
    </w:p>
    <w:p>
      <w:r>
        <w:t>5.1.5 L'art. 2 al. 2 CC prévoit que l'abus manifeste d'un droit n'est pas protégé par la loi.</w:t>
      </w:r>
    </w:p>
    <w:p>
      <w:r>
        <w:t>L'art. 341 al. 1 CO énonce que le travailleur ne peut pas renoncer, pendant la durée du contrat et durant le mois qui suit la fin de celui-ci, aux créances résultant de dispositions impératives de la loi. Comme le droit au salaire afférent aux vacances revêt un caractère impératif, le fait pour le travailleur de n'avoir soulevé ses prétentions qu'à l'expiration des rapports de travail ne peut constituer, à lui seul, un abus de droit manifeste, sous peine de vider de son sens l'art. 341 CO (ATF 129 III 618 consid. 5.2; arrêt du Tribunal fédéral 4A_435/2015 du 14 janvier 2016 consid. 3.4.1).</w:t>
      </w:r>
    </w:p>
    <w:p>
      <w:r>
        <w:t>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p. 498; arrêt du Tribunal fédéral 4A_435/2015 du 14 janvier 2016 consid. 3.4.1).</w:t>
      </w:r>
    </w:p>
    <w:p>
      <w:r>
        <w:t>5.2.1 En l'espèce, il est constant que la CCT n'a pas fait l'objet d'une décision d'extension. Se pose dès lors la question de savoir si elle contient une clause d'extension valant stipulation pour autrui parfaite.</w:t>
      </w:r>
    </w:p>
    <w:p>
      <w:r>
        <w:t>A l'instar du cas examiné par le Tribunal fédéral (consid. 5.1.2 ci-dessus), la CCT en cause est une convention d'entreprise, car elle lie l'appelante, en qualité d'employeur, et non pas une association d'employeurs. Elle a vocation à s'appliquer à tous ses collaborateurs, hormis certaines exceptions non réalisées en l'espèce (art. 1.2 CCT et cf. consid. 5.2.2 ci-après), qu'ils soient ou non affiliés à un syndicat (art. 1.2.1 CCT). Elle prévoit une contribution mensuelle de tous les collaborateurs soumis à la CCT (art. 1.6 CCT). Enfin, la CCT et ses annexes font partie intégrante du contrat de travail. Par conséquent, la CCT litigieuse est une stipulation pour autrui parfaite, de sorte que l'intimé peut s'en prévaloir à l'encontre de l'appelante, sans que celle-ci puisse, de bonne foi, en restreindre la portée.</w:t>
      </w:r>
    </w:p>
    <w:p>
      <w:r>
        <w:t>Il résulte des considérants qui précèdent que le droit aux vacances de l'intimé est de 6 semaines, en application de la CCT, qui est plus favorable sur ce point que le CO.</w:t>
      </w:r>
    </w:p>
    <w:p>
      <w:r>
        <w:t>5.2.2 Les qualifications professionnelles élevées de l'intimé et le fait qu'il disposait d'une certaine liberté dans l'organisation du contrôle des installations</w:t>
      </w:r>
    </w:p>
    <w:p>
      <w:r>
        <w:t>- 16/20 -</w:t>
      </w:r>
    </w:p>
    <w:p>
      <w:r>
        <w:t>C/27013/2015-1 électriques ne lui confèrent pas le statut de cadre de l'entreprise et encore moins celui de cadre exerçant une fonction dirigeante élevée. En effet, il ne faisait pas partie du personnel d'encadrement de la société puisqu'il était subordonné au directeur et au responsable du département d'1______. Il devait intervenir à la demande de ce dernier et lui rendre compte du résultat de ses contrôles, de sorte que sa marge d'évaluation était circonscrite à son domaine technique. Enfin, il ne disposait d'aucune compétence décisionnelle sur la marche courante des affaires, puisqu'il n'était ni membre d'un organe de direction de la société ni inscrit au Registre du commerce pour celle-ci.</w:t>
      </w:r>
    </w:p>
    <w:p>
      <w:r>
        <w:t>L'intimé ne disposait pas du statut de cadre au sein de l'appelante, l'excluant du champ d'application de la CCT.</w:t>
      </w:r>
    </w:p>
    <w:p>
      <w:r>
        <w:t>5.2.3 Enfin, la Cour retient, avec le Tribunal, que l'intimé ne commet pas d'abus de droit en se prévalant de son droit aux vacances, puisqu'il s'agit d'un droit impératif auquel il ne pouvait pas renoncer et qu'il n'a pas tardé à l'invoquer en s'en prévalant au terme des rapports de travail. Le jugement sera confirmé sur ce point.</w:t>
      </w:r>
    </w:p>
    <w:p>
      <w:r>
        <w:t>5.2.4 Du 1er mai 2012 au 30 novembre 2015, soit une période de 1'308 jours ou de 3 ans, six mois et 29 jours selon le calculateur disponible sur internet (https://www.ephemeride.com/calendrier/deux_dates/81/), l'intimé a perçu un salaire brut total de 202'664 fr. 10, ce qui, au taux de 13,043% sus indiqué, donne droit à une indemnité pour vacances non prises arrondie à 26'433 fr.</w:t>
      </w:r>
    </w:p>
    <w:p>
      <w:r>
        <w:t>Il convient de déduire de ce montant les jours de vacances que l'intimé a pris durant cette période.</w:t>
      </w:r>
    </w:p>
    <w:p>
      <w:r>
        <w:t>Il est établi que l'entreprise était fermée quinze jours par an en fin d'année. Toutefois, l'appelante n'a pas démontré les dates en question. Il sera dès lors retenu que cette période correspond à 5 jours ouvrables par an, compte tenu des week-ends et des jours fériés. Cela signifie 5 jours en fin d'année en 2012, plus</w:t>
      </w:r>
    </w:p>
    <w:p>
      <w:r>
        <w:rPr>
          <w:b/>
        </w:rPr>
        <w:t>E. 7</w:t>
      </w:r>
    </w:p>
    <w:p>
      <w:r>
        <w:t>Il n'y a pas lieu à la perception de frais judiciaires (art. 19 al. 3 let. c LACC) ni à l'allocation de dépens (art. 22 al. 2 LACC). * * * * *</w:t>
      </w:r>
    </w:p>
    <w:p>
      <w:r>
        <w:t>- 19/20 -</w:t>
      </w:r>
    </w:p>
    <w:p>
      <w:r>
        <w:t>C/27013/2015-1 PAR CES MOTIFS, La Chambre des prud'hommes, groupe 1 : A la forme : Déclare recevables l'appel formé le 15 février 2017 par A______ et l'appel joint formé le 16 mars 2017 par B______ contre le jugement JTPH/20/2017 rendu par le Tribunal des prud'hommes le 13 janvier 2017 dans la cause C/27013/2015-1. Au fond : Annule les ch. 2 et 4 du dispositif du jugement entrepris et, statuant à nouveau sur ces points : 2. Condamne A______ à verser à B______ la somme brute de de 21'021 fr. 4. Condamne A______ à verser à B______ la somme de 7'300 fr. à titre d'indemnité pour l'utilisation de son matériel et de son véhicule. Déboute les parties de toutes autres conclusions. Sur les frais : Dit qu'il n'est pas perçu de frais ni alloué de dépens. Siégeant : Madame Pauline ERARD, présidente; Monsieur Pierre-Alain L'HÔTE, juge employeur, Monsieur Roger EMMENEGGER, juge salarié; Madame Véronique BULUNDWE- LEVY, greffière.</w:t>
      </w:r>
    </w:p>
    <w:p>
      <w:r>
        <w:t>- 20/20 -</w:t>
      </w:r>
    </w:p>
    <w:p>
      <w:r>
        <w:t>C/27013/2015-1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