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CAPH/115/2015 vom 2. Juli 2015</w:t>
      </w:r>
    </w:p>
    <w:p>
      <w:r>
        <w:t>GE Cour de justice, 2015-07-02, FR</w:t>
      </w:r>
    </w:p>
    <w:p>
      <w:r>
        <w:rPr>
          <w:b/>
        </w:rPr>
        <w:t xml:space="preserve">Quelle: </w:t>
      </w:r>
      <w:r>
        <w:t>https://mcp.opencaselaw.ch/entscheid/ge_gerichte_CAPH_115_2015</w:t>
      </w:r>
    </w:p>
    <w:p>
      <w:r>
        <w:t>FR: GE_GERICHTE CAPH/115/2015 du 2 juillet 2015</w:t>
      </w:r>
    </w:p>
    <w:p>
      <w:r>
        <w:t>IT: GE_GERICHTE CAPH/115/2015 del 2 luglio 2015</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(art. 237 al. 2 CPC). L'appel, écrit et motivé, est introduit dans les trente jours à compter de la notification de la décision motivée (art. 311 CPC). En l'espèce, la décision attaquée comprend une décision incidente, tranchant l'incident soulevé par l'appelante (ch. 1 à 3 du dispositif), et une ordonnance d'instruction, fixant la suite de la procédure (ch. 4 à 7 du dispositif). Même si elle conclut à l'annulation de la décision du 20 janvier 2015 dans son intégralité,</w:t>
      </w:r>
    </w:p>
    <w:p>
      <w:r>
        <w:t>- 5/8 -</w:t>
      </w:r>
    </w:p>
    <w:p>
      <w:r>
        <w:t>C/8560/2014-1 l'appelante ne dirige ses griefs que contre la décision incidente, à savoir contre les ch. 1 à 3 du dispositif. Elle ne critique en revanche pas l'ordonnance d'instruction. La voie de l'appel lui est ainsi ouverte. Interjeté dans le délai et la forme prescrits par la loi, l'appel est recevable.</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question de la recevabilité des pièces nouvelles de l'intimé peut demeurer ouverte, dans la mesure où celles-ci ne sont pas déterminantes pour l'issue du litige.</w:t>
      </w:r>
    </w:p>
    <w:p>
      <w:r>
        <w:rPr>
          <w:b/>
        </w:rPr>
        <w:t>E. 3</w:t>
      </w:r>
    </w:p>
    <w:p>
      <w:r>
        <w:t>L'appelante fait grief au Tribunal d'avoir admis la qualité de mandataire professionnellement qualifié de C______ - alors qu'à son avis le collaborateur de celle-ci ayant signé la demande du 19 août 2014 n'avait pas les compétences spécialisées requises - et d'avoir ainsi déclarée recevable ladite demande.</w:t>
      </w:r>
    </w:p>
    <w:p>
      <w:r>
        <w:rPr>
          <w:b/>
        </w:rPr>
        <w:t>E. 3.1</w:t>
      </w:r>
    </w:p>
    <w:p>
      <w:r>
        <w:t>L'art. 68 al. 2 let d CPC dispose que sont autorisés à représenter les parties à titre professionnel devant les juridictions spéciales en matière de contrat de bail et de contrat de travail les mandataires professionnellement qualifiés si le droit cantonal le prévoit.</w:t>
      </w:r>
    </w:p>
    <w:p>
      <w:r>
        <w:t>A Genève, l'art. 15 LaCC le prévoit, à l'instar de ce qui prévalait sous l'empire de l'ancien droit cantonal de procédure.</w:t>
      </w:r>
    </w:p>
    <w:p>
      <w:r>
        <w:t>Le Tribunal fédéral a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w:t>
      </w:r>
    </w:p>
    <w:p>
      <w:r>
        <w:t>- 6/8 -</w:t>
      </w:r>
    </w:p>
    <w:p>
      <w:r>
        <w:t>C/8560/2014-1</w:t>
      </w:r>
    </w:p>
    <w:p>
      <w:r>
        <w:t>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précité, consid. 6.4).</w:t>
      </w:r>
    </w:p>
    <w:p>
      <w:r>
        <w:rPr>
          <w:b/>
        </w:rPr>
        <w:t>E. 3.2</w:t>
      </w:r>
    </w:p>
    <w:p>
      <w:r>
        <w:t>En l'espèce, l'appelante ne conteste pas, à juste titre, que C______ est une personne morale active à Genève, entre autres, dans la défense des travailleurs en difficulté et que son activité comprend la représentation individuelle en justice au sens de l'art. 68 al. 2 let. d CPC. C______ dispose d'un Service juridique dont la responsable est une avocate, inscrite au registre cantonal des avocats (cf. art. 5 al. 1 LPav). L'association est ainsi en mesure de mettre à la disposition des plaideurs - particulièrement en matière de droit du travail - au moins une collaboratrice dotée des connaissances théoriques et pratiques nécessaires aux affaires. E______ n'est pas intervenu dans la procédure à titre indépendant, mais comme collaborateur de C______. Ses pouvoirs de signer la demande du 19 août 2014 au nom et pour le compte de l'association ne sont pas mis en doute. Dans la mesure où il n'a pas agi à titre individuel, il n'y a pas lieu d'examiner sa qualité de mandataire professionnellement qualifié. Cela étant, il est titulaire d'un baccalauréat universitaire en droit suisse et d'une maîtrise universitaire en droit. L'appelante admet que l'obtention du baccalauréat permet de déduire qu'il a suivi des cours de droit du travail et de procédure civile. De plus, durant sa formation, il a travaillé auprès d'une autorité judicaire. Sur la base de ses éléments, il ne peut être considéré que ses connaissances théoriques et pratiques seraient manifestement insuffisantes au sens de la jurisprudence fédérale susmentionnée. En définitive, c'est à juste titre que le Tribunal a reconnu la qualité de mandataire professionnellement qualifié à C______, qui était ainsi légitimée à représenter l'intimé dans la procédure et à signer la demande du 19 août 2014, laquelle est recevable. Le jugement incident attaqué sera confirmé.</w:t>
      </w:r>
    </w:p>
    <w:p>
      <w:r>
        <w:rPr>
          <w:b/>
        </w:rPr>
        <w:t>E. 4</w:t>
      </w:r>
    </w:p>
    <w:p>
      <w:r>
        <w:t>Comme le relève l'appelant lui-même, l'appel suspend la force de chose jugée et le caractère exécutoire de la décision dans la mesure des conclusions prises en appel (art. 315 al. 1 CPC). Sa conclusion préalable tendant à l'octroi de l'effet suspensif à l'appel est donc sans objet.</w:t>
      </w:r>
    </w:p>
    <w:p>
      <w:r>
        <w:rPr>
          <w:b/>
        </w:rPr>
        <w:t>E. 5</w:t>
      </w:r>
    </w:p>
    <w:p>
      <w:r>
        <w:t>Dans la mesure où l'appel ne peut pas être qualifié de téméraire au sens de l'art. 128 al. 3 CPC, il n'y a pas lieu de prononcer une amende disciplinaire à l'encontre de l'appelant. Il est ainsi superflu d'examiner la recevabilité de la conclusion de</w:t>
      </w:r>
    </w:p>
    <w:p>
      <w:r>
        <w:t>- 7/8 -</w:t>
      </w:r>
    </w:p>
    <w:p>
      <w:r>
        <w:t>C/8560/2014-1 l'intimé tendant à un tel prononcé, prise pour la première fois dans la duplique du 30 avril 2015.</w:t>
      </w:r>
    </w:p>
    <w:p>
      <w:r>
        <w:rPr>
          <w:b/>
        </w:rPr>
        <w:t>E. 6</w:t>
      </w:r>
    </w:p>
    <w:p>
      <w:r>
        <w:t>La procédure est gratuite, compte tenu de la valeur litigieuse (art. 19 al. 3 let. c LaCC; art. 71 RTFMC). Il n'est pas alloué de dépens (art. 22 al. 2 LaCC). * * * * *</w:t>
      </w:r>
    </w:p>
    <w:p>
      <w:r>
        <w:t>- 8/8 -</w:t>
      </w:r>
    </w:p>
    <w:p>
      <w:r>
        <w:t>C/8560/2014-1 PAR CES MOTIFS, La Chambre des prud'hommes, groupe 1 : A la forme : Déclare recevable l'appel formé le 2 février 2015 par A______ contre les chiffres 1 à 3 du dispositif du jugement JTPH/15/2015 rendu le 20 janvier 2015 par le Tribunal des prud'hommes dans la cause C/8560/2014-1. Au fond : Confirme les chiffres 1 à 3 du dispositif du jugement attaqué. Déboute les parties de toutes autres conclusions. Sur les frais : Dit qu'il n'est pas perçu de frais, ni alloué de dépens. Siégeant : Monsieur Ivo BUETTI, président; Monsieur Pierre-Alain L'HÔTE, juge employeur, Monsieur Yves DUPRÉ, juge salarié; Madame Véronique BULUNDWE-LÉVY, greffière.</w:t>
      </w:r>
    </w:p>
    <w:p>
      <w:r>
        <w:t>Le président : Ivo BUETTI</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