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CAPH/114/2018 vom 16. August 2018</w:t>
      </w:r>
    </w:p>
    <w:p>
      <w:r>
        <w:t>GE Cour de justice, 2018-08-16, FR</w:t>
      </w:r>
    </w:p>
    <w:p>
      <w:r>
        <w:rPr>
          <w:b/>
        </w:rPr>
        <w:t xml:space="preserve">Quelle: </w:t>
      </w:r>
      <w:r>
        <w:t>https://mcp.opencaselaw.ch/entscheid/ge_gerichte_CAPH_114_2018</w:t>
      </w:r>
    </w:p>
    <w:p>
      <w:r>
        <w:t>FR: GE_GERICHTE CAPH/114/2018 du 16 août 2018</w:t>
      </w:r>
    </w:p>
    <w:p>
      <w:r>
        <w:t>IT: GE_GERICHTE CAPH/114/2018 del 16 agosto 2018</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litigieuse étant, en l'espèce, supérieure à 10'000 fr., la voie de l'appel est ouverte.</w:t>
      </w:r>
    </w:p>
    <w:p>
      <w:r>
        <w:t>Formé dans les délais et selon la forme prescrits par la loi, auprès de l'autorité compétente (art. 124 let. a LOJ) par une partie qui y a intérêt (art. 59 al. 2 let. a CPC), l'appel est recevable (art. 130, 131, 142 al. 3, 145 et 311 al. 1 CPC).</w:t>
      </w:r>
    </w:p>
    <w:p>
      <w:r>
        <w:rPr>
          <w:b/>
        </w:rPr>
        <w:t>E. 2</w:t>
      </w:r>
    </w:p>
    <w:p>
      <w:r>
        <w:t>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consignés au procès-verbal, et parvenir à des constatations de fait différentes de celles de l'autorité de première instance (arrêts du Tribunal fédéral 4A_238/2015 du 22 septembre 2015 consid.2.2 et 2.3; 4A_748/2012 du 3 juin 2013 consid. 2.1).</w:t>
      </w:r>
    </w:p>
    <w:p>
      <w:r>
        <w:rPr>
          <w:b/>
        </w:rPr>
        <w:t>E. 3</w:t>
      </w:r>
    </w:p>
    <w:p>
      <w:r>
        <w:t>Les parties ont produit de nouvelles pièces et formé de nouveaux allégués.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w:t>
      </w:r>
    </w:p>
    <w:p>
      <w:r>
        <w:t>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 Les innombrables renseignements figurant sur internet ne peuvent pas être considérés comme notoires (ATF 138 I 1 consid. 2.4 et 134 III 224 consid. 7.2).</w:t>
      </w:r>
    </w:p>
    <w:p>
      <w:r>
        <w:rPr>
          <w:b/>
        </w:rPr>
        <w:t>E. 3.2</w:t>
      </w:r>
    </w:p>
    <w:p>
      <w:r>
        <w:t>Dans sa réponse à l'appel, l'intimée a produit deux extraits du Registre du commerce. Il s'agit de faits notoires, de sorte que ces extraits sont recevables.</w:t>
      </w:r>
    </w:p>
    <w:p>
      <w:r>
        <w:t>- 6/9 -</w:t>
      </w:r>
    </w:p>
    <w:p>
      <w:r>
        <w:t>C/17980/2016-3</w:t>
      </w:r>
    </w:p>
    <w:p>
      <w:r>
        <w:t>En revanche, les faits nouvellement allégués par l'appelant, ainsi que les titres y relatifs sont irrecevables, dès lors qu'ils auraient respectivement dus être invoqués et produits en première instance.</w:t>
      </w:r>
    </w:p>
    <w:p>
      <w:r>
        <w:rPr>
          <w:b/>
        </w:rPr>
        <w:t>E. 4</w:t>
      </w:r>
    </w:p>
    <w:p>
      <w:r>
        <w:t>L'appelant se plaint de ce que le Tribunal a dénié la légitimation passive à B______. Il soutient que ce dernier formait une société simple avec l'intimée et que, par ailleurs, il se présentait tantôt comme directeur de la société, tantôt comme associé de celle-ci.</w:t>
      </w:r>
    </w:p>
    <w:p>
      <w:r>
        <w:rPr>
          <w:b/>
        </w:rPr>
        <w:t>E. 4.1</w:t>
      </w:r>
    </w:p>
    <w:p>
      <w:r>
        <w:t>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w:t>
      </w:r>
    </w:p>
    <w:p>
      <w:r>
        <w:t>Il appartient au demandeur de prouver les faits dont il entend déduire un droit, en particulier que le défendeur est son débiteur en vertu d'une cause valable (KUMMER, Berner Kommentar, Einleitung, 1962, n. 147 ad. art. 8 CC).</w:t>
      </w:r>
    </w:p>
    <w:p>
      <w:r>
        <w:rPr>
          <w:b/>
        </w:rPr>
        <w:t>E. 4.2</w:t>
      </w:r>
    </w:p>
    <w:p>
      <w:r>
        <w:t>A teneur de l'art. 319 al. 1 CO, dans le cadre du contrat individuel de travail, le travailleur s'engage, pour une durée déterminée ou indéterminée, à travailler au service de l'employeur et celui-ci à payer un salaire fixé d'après le temps ou le travail fourni.</w:t>
      </w:r>
    </w:p>
    <w:p>
      <w:r>
        <w:t>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w:t>
      </w:r>
    </w:p>
    <w:p>
      <w:r>
        <w:t>Pour identifier l'employeur, il y a lieu de s'intéresser à différents indices, tels l'identité de la personne qui procède au versement du salaire, s'acquitte des cotisations sociales et répond aux requêtes éventuelles de l'employé, l'incorporation durable de ce dernier dans une société et l'exercice effectif du pouvoir hiérarchique, lequel consiste notamment à donner à l'employé des instructions relatives à ses tâches, à définir sa fonction et à lui transmettre des informations relatives aux modalités d'exécution de ses missions (arrêt du Tribunal fédéral 4A_564/2014 du 11 février 2015 consid. 3.2; DRUEY/VOGEL,</w:t>
      </w:r>
    </w:p>
    <w:p>
      <w:r>
        <w:t>- 7/9 -</w:t>
      </w:r>
    </w:p>
    <w:p>
      <w:r>
        <w:t>C/17980/2016-3 Das schweizerische Konzernrecht in der Praxis der Gerichte, 1999, p. 240 n. 4 et p. 241 s n. 5).</w:t>
      </w:r>
    </w:p>
    <w:p>
      <w:r>
        <w:t>Pour apprécier la forme et les clauses d'un contrat, le juge doit rechercher, dans un premier temps, la réelle et commune intention des parties (art. 18 al. 1 CO), le cas échéant empiriquement, sur la base d'indices. S'il ne parvient pas à établir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w:t>
      </w:r>
    </w:p>
    <w:p>
      <w:r>
        <w:t>Déterminer, en cas de litige, l'identité de l'une ou l'autre des parties à un contrat est affaire d'interprétation des manifestations de volonté des personnes en présence, qui se résout selon les principes rappelés ci-dessus (ATF 112 II 347 consid. 1c; arrêt du Tribunal fédéral 4A_564/2014 du 11 février 2015 consid. 3.1; SJ 2000 I 125).</w:t>
      </w:r>
    </w:p>
    <w:p>
      <w:r>
        <w:rPr>
          <w:b/>
        </w:rPr>
        <w:t>E. 4.3</w:t>
      </w:r>
    </w:p>
    <w:p>
      <w:r>
        <w:t>Dans le présent cas, il est constant que le contrat de travail conclu le 15 mai 2014 l'a été entre l'appelant et l'intimée, représentée par son administrateur G______. Un avertissement écrit a été signifié à l'appelant, sur papier à en-tête de l'intimée, également signé par l'administrateur de celle-ci. Le fait qu'il soit mentionné dans cette correspondance que B______ était à cette époque le "CEO" de l'intimée ne modifie pas ce qui précède. Ce seul élément ne permet pas non plus de retenir que le précité aurait été co-employeur de l'appelant, toute société étant, en principe, dirigée par un directeur, lui-même employé de la société. Par ailleurs, B______ ne disposait pas de pouvoirs l'autorisant à représenter l'intimée et il résulte du Registre du commerce que seul l'administrateur disposait de la signature individuelle.</w:t>
      </w:r>
    </w:p>
    <w:p>
      <w:r>
        <w:t>L'appelant fait valoir que B______ se cacherait derrière l'intimée "dans le but d'échapper à ses obligations contractuelles d'employeur". Cette allégation ne repose sur aucune pièce versée à la procédure. L'appelant n'a en effet pas allégué que son salaire aurait été versé – ou aurait dû l'être – par B______, ni que ce dernier lui aurait donné des instructions en son nom personnel. A l'instar du Tribunal, la Cour relève que l'appelant a résilié son contrat de travail, le 30 novembre 2015, auprès de l'intimée et que cet acte formateur n'a pas été</w:t>
      </w:r>
    </w:p>
    <w:p>
      <w:r>
        <w:t>- 8/9 -</w:t>
      </w:r>
    </w:p>
    <w:p>
      <w:r>
        <w:t>C/17980/2016-3 adressé à B______. De la même façon, l'appelant a mis l'intimée en demeure, le 30 mars 2015, de lui verser les salaires impayés, et non le précité. Eu égard à l'ensemble des éléments qui précèdent, c'est à bon droit que le Tribunal a retenu que B______ n'était pas employeur ni co-employeur de l'appelant, de sorte qu'il ne dispose pas de la légitimation passive au procès.</w:t>
      </w:r>
    </w:p>
    <w:p>
      <w:r>
        <w:rPr>
          <w:b/>
        </w:rPr>
        <w:t>E. 4.4</w:t>
      </w:r>
    </w:p>
    <w:p>
      <w:r>
        <w:t>L'appel se révélant infondé, le jugement entrepris sera intégralement confirmé.</w:t>
      </w:r>
    </w:p>
    <w:p>
      <w:r>
        <w:rPr>
          <w:b/>
        </w:rPr>
        <w:t>E. 5</w:t>
      </w:r>
    </w:p>
    <w:p>
      <w:r>
        <w:t>L'intimé requiert la condamnation de l'appelant à une amende pour téméraire plaideur.</w:t>
      </w:r>
    </w:p>
    <w:p>
      <w:r>
        <w:rPr>
          <w:b/>
        </w:rPr>
        <w:t>E. 5.1</w:t>
      </w:r>
    </w:p>
    <w:p>
      <w:r>
        <w:t>A teneur de l'art. 128 al. 3 CPC, la partie ou son représentant qui usent de mauvaise foi ou de procédés téméraires sont punis d'une amende disciplinaire de 2'000 fr. au plus; l'amende est de 5'000 fr. au plus en cas de récidive.</w:t>
      </w:r>
    </w:p>
    <w:p>
      <w:r>
        <w:t>Agit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w:t>
      </w:r>
    </w:p>
    <w:p>
      <w:r>
        <w:rPr>
          <w:b/>
        </w:rPr>
        <w:t>E. 5.2</w:t>
      </w:r>
    </w:p>
    <w:p>
      <w:r>
        <w:t>En l'espèce, bien que l'appelant succombe devant la Cour, il ne peut être retenu que son appel était dénué de chance de succès au point de s'apparenter à une utilisation abusive des voies de recours.</w:t>
      </w:r>
    </w:p>
    <w:p>
      <w:r>
        <w:rPr>
          <w:b/>
        </w:rPr>
        <w:t>E. 5.3</w:t>
      </w:r>
    </w:p>
    <w:p>
      <w:r>
        <w:t>Partant, il n'y a pas lieu à une amende disciplinaire.</w:t>
      </w:r>
    </w:p>
    <w:p>
      <w:r>
        <w:rPr>
          <w:b/>
        </w:rPr>
        <w:t>E. 6</w:t>
      </w:r>
    </w:p>
    <w:p>
      <w:r>
        <w:t>Des frais de justice compris entre 200 fr. et 10'000 fr. sont perçus dans les causes soumises à la Juridiction des prud'hommes, lorsque la valeur litigieuse excède 75'000 fr. devant le Tribunal des prud'hommes et 50'000 fr. devant la présente Chambre d'appel des prud'hommes (art. 116 CPC et 19 al. 3 let. c LaCC).</w:t>
      </w:r>
    </w:p>
    <w:p>
      <w:r>
        <w:t>En l'espèce, la valeur litigieuse est de l'ordre de 14'000 fr., de sorte qu'il n'y a pas lieu à percevoir des frais judiciaires d'appel.</w:t>
      </w:r>
    </w:p>
    <w:p>
      <w:r>
        <w:t>Par ailleurs, il n'est alloué ni dépens ni indemnité pour couvrir les frais de représentation des parties (art. 22 al. 2 LaCC). * * * * *</w:t>
      </w:r>
    </w:p>
    <w:p>
      <w:r>
        <w:t>- 9/9 -</w:t>
      </w:r>
    </w:p>
    <w:p>
      <w:r>
        <w:t>C/17980/2016-3 PAR CES MOTIFS, La Chambre des prud'hommes, groupe 3: A la forme : Déclare recevable l'appel interjeté le 24 novembre 2017 par A______ contre le jugement JTPH/402/2017 rendu le 24 octobre 2017 par le Tribunal des prud'hommes dans la cause C/17980/2016-3. Au fond : Confirme ce jugement. Dit qu'il n'est pas perçu de frais ni alloué de dépens. Déboute les parties de toutes autres conclusions. Siégeant : Madame Nathalie RAPP, présidente; Monsieur Claudio PANNO, juge employeur; Madame Agnès MINDER-JAEGER, juge salariée; Madame Véronique BULUNDWE- LEVY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