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CAPH/114/2016 vom 23. Juni 2016</w:t>
      </w:r>
    </w:p>
    <w:p>
      <w:r>
        <w:t>GE Cour de justice, 2016-06-23, FR</w:t>
      </w:r>
    </w:p>
    <w:p>
      <w:r>
        <w:rPr>
          <w:b/>
        </w:rPr>
        <w:t xml:space="preserve">Quelle: </w:t>
      </w:r>
      <w:r>
        <w:t>https://mcp.opencaselaw.ch/entscheid/ge_gerichte_CAPH_114_2016</w:t>
      </w:r>
    </w:p>
    <w:p>
      <w:r>
        <w:t>FR: GE_GERICHTE CAPH/114/2016 du 23 juin 2016</w:t>
      </w:r>
    </w:p>
    <w:p>
      <w:r>
        <w:t>IT: GE_GERICHTE CAPH/114/2016 del 23 giugno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TAPPY, Les voies de droit du nouveau Code de procédure civile, in JdT 2010 III p. 115 ss, p. 141; CHAIX, Introduction au recours de la nouvelle procédure civile fédérale, in SJ 2009 II p. 257 ss, p. 259).</w:t>
      </w:r>
    </w:p>
    <w:p>
      <w:r>
        <w:rPr>
          <w:b/>
        </w:rPr>
        <w:t>E. 1.2</w:t>
      </w:r>
    </w:p>
    <w:p>
      <w:r>
        <w:t>En tant qu'elle admet un moyen de preuve, la décision querellée est une ordonnance de preuves au sens de l'art. 154 CPC, susceptible de recours immédiat aux conditions restrictives de l'art. 319 let. b ch. 2 CPC, soit lorsqu'elle est de nature à causer un préjudice difficilement réparable (CAPH/43/2016 consid. 1.2; ACJC/241/2015 consid. 1.1; ACJC/1234/2014 consid. 1.1; ACJC/1292 /2013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w:t>
      </w:r>
    </w:p>
    <w:p>
      <w:r>
        <w:rPr>
          <w:b/>
        </w:rPr>
        <w:t>E. 2</w:t>
      </w:r>
    </w:p>
    <w:p>
      <w:r>
        <w:t>La recourante reproche au Tribunal d'avoir admis à la procédure la déclaration écrite de F______ ainsi que son audition en qualité de témoin en violation des dispositions sur le droit à la preuve, lui causant ainsi un préjudice difficilement réparable en ce sens que le Tribunal, après avoir pris connaissance de ces preuves, ne sera plus « une instance judiciaire neutre » pour avoir été influencé de manière « biaisée et décisive ».</w:t>
      </w:r>
    </w:p>
    <w:p>
      <w:r>
        <w:rPr>
          <w:b/>
        </w:rPr>
        <w:t>E. 2.1</w:t>
      </w:r>
    </w:p>
    <w:p>
      <w:r>
        <w:t>La notion de « préjudice difficilement réparable » au sens de l'art. 319 let. b ch. 2 CPC est plus large que celle de « préjudice irréparable » au sens de l'art. 93 al. 1 let. a LTF (cf. ATF 137 III 380 consid. 2, in SJ 2012 I 73; 138 III 378 consid. 6.3). Est considérée comme « préjudice difficilement réparable », toute incidence dommageable (y compris financière ou temporelle), pourvu qu'elle soit difficilement réparable. Il y a toutefois lieu de se montrer exigeant, voire restrictif, avant d'admettre la réalisation de cette condition, sous peine d'ouvrir le recours à</w:t>
      </w:r>
    </w:p>
    <w:p>
      <w:r>
        <w:t>- 4/7 -</w:t>
      </w:r>
    </w:p>
    <w:p>
      <w:r>
        <w:t>C/9174/2015-2 toute décision ou ordonnance d'instruction, ce que le législateur a clairement exclu (JEANDIN, in CPC, Code de procédure civile commenté, BOHNET/HALDY/ JEANDIN/SCHWEIZER/TAPPY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 MCKENZIE [éd.], 2010, n. 8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Le risque de ne pas obtenir gain de cause existe pour toute partie dans toute procédure. Il ne constitue cependant pas un dommage difficile à réparer (TC/VS décision TCV C3 11 125 du 7 novembre 2011 consid. 2b - 2c). Si la condition du préjudice difficilement réparable n'est pas remplie, la partie doit attaquer l'ordonnance avec la décision finale sur le fond (Message du Conseil fédéral CPC, FF 2006 6841, ad art. 316 p. 6984).</w:t>
      </w:r>
    </w:p>
    <w:p>
      <w:r>
        <w:rPr>
          <w:b/>
        </w:rPr>
        <w:t>E. 2.2</w:t>
      </w:r>
    </w:p>
    <w:p>
      <w:r>
        <w:t>En l'espèce, si au terme de la procédure au fond, la recourante – qui par hypothèse aurait succombé – devait persister à estimer que le Tribunal a admis à tort la recevabilité de la déclaration écrite et l'audition de F______ ou estimer que le Tribunal a procédé à une mauvaise appréciation des preuves en tenant pour avérés les faits résultant de ces moyens de preuve, elle pourra diriger ses griefs contre la décision finale par la voie de l'appel de l'art. 308 CPC. L'instance d'appel aurait la possibilité de rendre une nouvelle décision, si la cause est en état d'être jugée (art. 327 al. 3 let. b CPC). Elle pourra revoir librement le droit, y compris l'appréciation des preuves (art. 157 et 310 CPC), étant relevé que le Tribunal</w:t>
      </w:r>
    </w:p>
    <w:p>
      <w:r>
        <w:t>- 5/7 -</w:t>
      </w:r>
    </w:p>
    <w:p>
      <w:r>
        <w:t>C/9174/2015-2 comme la Cour se doivent d'établir les faits de la cause exclusivement au moyen des preuves admissibles. De ce point de vue, la recourante conserverait ses moyens dans le cadre de l'appel contre le jugement au fond. Elle ne subit ainsi aucun préjudice difficilement réparable du fait de l'ordonnance querellée. Le recours contre l'ordonnance est dès lors irrecevable, les conditions de l'art. 319 let. b ch. 2 n'étant pas remplies.</w:t>
      </w:r>
    </w:p>
    <w:p>
      <w:r>
        <w:rPr>
          <w:b/>
        </w:rPr>
        <w:t>E. 3</w:t>
      </w:r>
    </w:p>
    <w:p>
      <w:r>
        <w:t>La recourante reproche également au Tribunal d'avoir violé son droit d'être entendue en lui refusant le droit de plaider sur l'admission de la déclaration écrite et l'audition de F______ avant de rendre son ordonnance d'instruction qui, en sus, avait été rédigée avant l'audience.</w:t>
      </w:r>
    </w:p>
    <w:p>
      <w:r>
        <w:rPr>
          <w:b/>
        </w:rPr>
        <w:t>E. 3.1</w:t>
      </w:r>
    </w:p>
    <w:p>
      <w:r>
        <w:t>Conformément aux art. 29 al. 2 Cst. et 6 CEDH, les parties ont le droit d'être entendues. Le droit d'être entendu des parties implique notamment le droit d'être informées et de s'exprimer sur les éléments pertinents du litige avant qu'une décision touchant leur situation juridique ne soit prise (art. 29 al. 2 Cst. et 53 CPC; ATF 133 I 270 consid. 3.1), Les parties ont le droit de se déterminer sur toute argumentation présentée au tribunal par la partie adverse, que celle-ci contienne ou non de nouveaux éléments de fait ou de droit, et qu'elle soit ou non concrètement susceptible d'influer sur le jugement à rendre (ATF 139 I 189 consid. 3.2). 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rPr>
          <w:b/>
        </w:rPr>
        <w:t>E. 3.2</w:t>
      </w:r>
    </w:p>
    <w:p>
      <w:r>
        <w:t>En l'espèce, le Tribunal a permis à la recourante de se déterminer sur le dépôt de la pièce litigieuse et l'audition de F______, puisqu'il est mentionné au procès- verbal de l'audience du 9 février 2016 qu'elle s'y est opposée et pour quel motif. La recourante a donc pu s'exprimer sur ces points avant que la décision ne soit rendue. Son droit d'être entendue a donc été respecté. Par ailleurs, si le Tribunal a véritablement rédigé à l'avance un projet d'ordonnance de preuve, ce qui ne résulte pas du procès-verbal de l'audience, il n'avait, en revanche, pas la possibilité de prévoir avant l'audience que l'intimée solliciterait l'audition de F______ comme témoin. Dès lors, ce n'est qu'à l'issue de l'audience que le Tribunal, après avoir entendu les arguments des parties, a pu décider d'admettre comme moyen de preuve l'audition dudit témoin. Par conséquent, le Tribunal n'a pas violé le droit d'être entendue de la recourante.</w:t>
      </w:r>
    </w:p>
    <w:p>
      <w:r>
        <w:t>- 6/7 -</w:t>
      </w:r>
    </w:p>
    <w:p>
      <w:r>
        <w:t>C/9174/2015-2</w:t>
      </w:r>
    </w:p>
    <w:p>
      <w:r>
        <w:rPr>
          <w:b/>
        </w:rPr>
        <w:t>E. 4</w:t>
      </w:r>
    </w:p>
    <w:p>
      <w:r>
        <w:t>La recourante, qui succombe, supportera les frais judiciaires du recours (art. 106 al. 1 CPC), arrêtés à 150 fr. (art. 41 et 68 RTFMC), couverts par l'avance déjà opérée. Il n'est pas alloué de dépens (art. 22 al. 2 LaCC).</w:t>
      </w:r>
    </w:p>
    <w:p>
      <w:r>
        <w:rPr>
          <w:b/>
        </w:rPr>
        <w:t>E. 5</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- 7/7 -</w:t>
      </w:r>
    </w:p>
    <w:p>
      <w:r>
        <w:t>C/9174/2015-2 PAR CES MOTIFS, La Chambre des prud'hommes, groupe 2 :</w:t>
      </w:r>
    </w:p>
    <w:p>
      <w:r>
        <w:t>Rejette dans la mesure de sa recevabilité le recours formé le 19 février 2016 par A______ SA contre l'ordonnance rendue par le Tribunal des prud'hommes le 9 février 2016 dans la cause C/9174/2015-2. Arrête les frais judiciaire du recours à 150 fr., les met à la charge de A______ SA et les compense avec l'avance déjà opérée, acquise à l'Etat de Genève. Dit qu'il n'est pas alloué de dépens. Siégeant : Monsieur Ivo BUETTI, président; Monsieur Vincent CANONICA, juge employeur, Monsieur Besim MAREVCI, juge salarié; Madame Véronique BULUNDWE-LÉVY, greffière.</w:t>
      </w:r>
    </w:p>
    <w:p>
      <w:r>
        <w:t>Le président : Ivo BUETTI</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