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CAPH/10/2016 vom 19. Januar 2016</w:t>
      </w:r>
    </w:p>
    <w:p>
      <w:r>
        <w:t>GE Cour de justice, 2016-01-19, FR</w:t>
      </w:r>
    </w:p>
    <w:p>
      <w:r>
        <w:rPr>
          <w:b/>
        </w:rPr>
        <w:t xml:space="preserve">Quelle: </w:t>
      </w:r>
      <w:r>
        <w:t>https://mcp.opencaselaw.ch/entscheid/ge_gerichte_CAPH_10_2016</w:t>
      </w:r>
    </w:p>
    <w:p>
      <w:r>
        <w:t>FR: GE_GERICHTE CAPH/10/2016 du 19 janvier 2016</w:t>
      </w:r>
    </w:p>
    <w:p>
      <w:r>
        <w:t>IT: GE_GERICHTE CAPH/10/2016 del 19 gennaio 2016</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w:t>
      </w:r>
    </w:p>
    <w:p>
      <w:r>
        <w:t>- 7/12 -</w:t>
      </w:r>
    </w:p>
    <w:p>
      <w:r>
        <w:t>C/17891/2014-2</w:t>
      </w:r>
    </w:p>
    <w:p>
      <w:r>
        <w:t>Ecrit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w:t>
      </w:r>
    </w:p>
    <w:p>
      <w:r>
        <w:t>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l'appel est dirigé exclusivement contre les ch. 4 et 5 du dispositif du jugement entrepris, selon lesquels l'appelant a été condamné à payer à l'intimé la somme brute de 21'017 fr. 89 avec intérêts moratoires à 5% l'an dès le 1er avril 2014, les déductions sociales, légales et usuelles devant être opérées. La voie de l'appel est ouverte parce que la valeur litigieuse au dernier état des conclusions, soit en fin de première instance, était supérieure à 10'000 fr. Introduit selon la forme prescrite par la loi et en temps utile (art. 311 al. 1, art. 142 al. 1, art. 145 al. 1 let. b CPC) auprès de l'instance compétente, l'appel est recevable.</w:t>
      </w:r>
    </w:p>
    <w:p>
      <w:r>
        <w:rPr>
          <w:b/>
        </w:rPr>
        <w:t>E. 1.3</w:t>
      </w:r>
    </w:p>
    <w:p>
      <w:r>
        <w:t>La Cour dispose d'un plein pouvoir de cognition (art. 310 CPC).</w:t>
      </w:r>
    </w:p>
    <w:p>
      <w:r>
        <w:t>La valeur litigieuse étant inférieure à 30'000 fr., les dispositions de la procédure simplifiée s'appliquent (art. 243 al. 1 CPC), soit en particulier la maxime d'office sociale (art. 247 al. 2 let. b ch. 1 CPC).</w:t>
      </w:r>
    </w:p>
    <w:p>
      <w:r>
        <w:rPr>
          <w:b/>
        </w:rPr>
        <w:t>E. 2</w:t>
      </w:r>
    </w:p>
    <w:p>
      <w:r>
        <w:t>L'appelant se plaint d'une constatation inexacte des faits et d'une violation de l'art. 321c CO et de l'art. 21 al. 4 CCNT, en contestant principalement l'existence des heures supplémentaires alléguées par l'intimé et, subsidiairement, son approbation de ces heures supplémentaires.</w:t>
      </w:r>
    </w:p>
    <w:p>
      <w:r>
        <w:rPr>
          <w:b/>
        </w:rPr>
        <w:t>E. 2.1</w:t>
      </w:r>
    </w:p>
    <w:p>
      <w:r>
        <w:t>Une convention collective de travail peut être étendue à tous les employeurs et employés d'une branche économique, en vertu de la Loi fédérale permettant d'étendre le champ d'application de la convention collective de travail (RS 221.215.311). Tel est le cas dans l'hôtellerie et de la restauration: pour tous les employeurs et employés de cette branche dans toute la Suisse, les rapports de travail sont régis par la CCNT du 6 juillet 1998, entrée en vigueur le 1er octobre 1998, et y compris les modifications survenues dans ce texte ultérieurement.</w:t>
      </w:r>
    </w:p>
    <w:p>
      <w:r>
        <w:t>En l'espèce, les rapports de travail s'étant déroulés du 1er février 2011 au 31 mars 2014, c'est la version de la CCNT en vigueur depuis le 1er janvier 2010 qui trouve application, puis celle entrée en vigueur le 1er janvier 2014.</w:t>
      </w:r>
    </w:p>
    <w:p>
      <w:r>
        <w:t>- 8/12 -</w:t>
      </w:r>
    </w:p>
    <w:p>
      <w:r>
        <w:t>C/17891/2014-2</w:t>
      </w:r>
    </w:p>
    <w:p>
      <w:r>
        <w:rPr>
          <w:b/>
        </w:rPr>
        <w:t>E. 2.2</w:t>
      </w:r>
    </w:p>
    <w:p>
      <w:r>
        <w:t>Par le contrat individuel de travail, le travailleur s'engage à travailler au service de l'employeur et celui-ci à payer un salaire fixé d'après le temps ou le travail fourni (art. 319 al. 1 CO).</w:t>
      </w:r>
    </w:p>
    <w:p>
      <w:r>
        <w:t>Lorsque le salaire est fixé d'après le temps et que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(arrêt du Tribunal fédéral 4C.47/2007 du 8 mai 2007 consid. 3.1).</w:t>
      </w:r>
    </w:p>
    <w:p>
      <w:r>
        <w:t>Par ailleurs, le paiement du salaire est la prestation principale de l'employeur, et un salaire horaire doit être déterminé sur la base du temps employé à travailler. C'est pourquoi la péremption de la prétention salariale doit dépendre de conditions strictes : l'employé ne perd pas automatiquement son droit à une rémunération supplémentaire s'il tarde à annoncer ses heures supplémentaires. Dans le cas d'un salaire horaire, on ne peut pas facilement présumer que l'employé renonce à une rémunération supplémentaire s'il fournit des heures supplémentaires non compensées par des congés (ATF 129 III 171 = JdT 2003 I 241 consid. 2.3).</w:t>
      </w:r>
    </w:p>
    <w:p>
      <w:r>
        <w:t>L'indemnisation des heures supplémentaires ne dépend d'ailleurs pas de la question de savoir si l'employeur les a exigées ou si l'employé en a pris l'initiative; leur caractère objectivement nécessaire pour l'employeur est seul déterminant pour leur rémunération (ATF 129 III 171 = JdT 2003 I 241 consid. 2.2).</w:t>
      </w:r>
    </w:p>
    <w:p>
      <w:r>
        <w:t>Ainsi, lorsque l'employeur connaissait ou aurait dû connaître, compte tenu des circonstances, les heures supplémentaires travaillées par son employé (ATF précité consid. 2.3), l'employé peut faire valoir sa prétention salariale supplémentaire même après la résiliation des rapports de travail, sous réserve d'une exception de prescription invoquée avec succès par l'employeur (AUBERT, in Commentaire romand, Code des obligations I, 2012, n° 21 ad art. 321c CO).</w:t>
      </w:r>
    </w:p>
    <w:p>
      <w:r>
        <w:t>En revanche, lorsque l'employeur ignorait la nécessité d'effectuer des heures supplémentaires ou l'exercice effectif de celles-ci et qu'il n'avait pas de raison de les connaître, l'employé qui accepte sans réserve le salaire habituel perd sa prétention à une rémunération supplémentaire (WYLER/HEINZER/MIKA-PANCHAUD, Droit du travail, 3ème éd. 2014, p. 100).</w:t>
      </w:r>
    </w:p>
    <w:p>
      <w:r>
        <w:t>- 9/12 -</w:t>
      </w:r>
    </w:p>
    <w:p>
      <w:r>
        <w:t>C/17891/2014-2</w:t>
      </w:r>
    </w:p>
    <w:p>
      <w:r>
        <w:rPr>
          <w:b/>
        </w:rPr>
        <w:t>E. 2.3</w:t>
      </w:r>
    </w:p>
    <w:p>
      <w:r>
        <w:t>L'employé qui réclame la rémunération d'heures supplémentaires supporte le fardeau de la preuve de l'existence de celles-ci, en vertu de l'art. 8 CC (arrêts du Tribunal fédéral 4C.92/2004 du 13 août 2004 consid. 3.2; 4P.96/2003 du 30 juillet 2003 consid. 2.3.1). Toutefois, la jurisprudence admet une preuve facilitée tant de l'existence même de ces heures supplémentaires que de leur ampleur, en application analogique de l'art. 42 al. 2 CO (arrêt du Tribunal fédéral 4C.307/2006 du 25 mars 2007 consid. 3.2 avec références).</w:t>
      </w:r>
    </w:p>
    <w:p>
      <w:r>
        <w:t>L'application analogique de l'art. 42 al. 2 CC entre en considération lorsque tous les indices fournis par le dossier permettent, en considération du cours ordinaire des choses, de conclure avec une certaine force à l'existence d'heures supplémentaires (arrêt précité consid. 3.2 : "… dass die Leistung solcher Mehrstunden … als annähernd sicher erscheint").</w:t>
      </w:r>
    </w:p>
    <w:p>
      <w:r>
        <w:t>Bien entendu, cette preuve facilitée ne renverse pas le fardeau de la preuve. L'employé doit donc établir, dans la mesure possible et raisonnable exigible, toutes les circonstances qui permettent de conclure à l'existence d'heures supplémentaires et d'en apprécier l'ampleur (arrêt précité consid. 3.2).</w:t>
      </w:r>
    </w:p>
    <w:p>
      <w:r>
        <w:t>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(arrêts du Tribunal fédéral 4A_611/2012 du 19 février 2013 consid. 2.2; 4A_543/2011 du 17 octobre 2011 consid. 3.1.3).</w:t>
      </w:r>
    </w:p>
    <w:p>
      <w:r>
        <w:rPr>
          <w:b/>
        </w:rPr>
        <w:t>E. 2.4</w:t>
      </w:r>
    </w:p>
    <w:p>
      <w:r>
        <w:t>La CCNT institue un régime particulier quant au contrôle de l'exécution d'heures supplémentaires et quant au fardeau de la preuve y relatif. L'employeur est responsable de l'enregistrement de la durée du travail effectué, et cet enregistrement doit être signé au moins une fois par mois par le collaborateur - respectivement par l'employeur - si celui-ci a délégué l'enregistrement au collaborateur (art. 21 al. 2 CCNT). L'employeur doit tenir un registre des heures de travail et des jours de repos effectifs (art. 21 al. 3 CCNT). Si cette obligation n'est pas respectée, le contrôle de la durée du temps de travail tenu par le collaborateur sera admis comme moyen de preuve en cas de litige (art. 21 al. 4 CCNT) (arrêts du Tribunal fédéral 4A_86/2008 du 23 septembre 2008 consid. 4.2; 4A_73/2008 du 4 juin 2008 consid. 3.2). Il ne s'agit pas d'un renversement du fardeau de la preuve; toutefois, le juge peut accorder une pleine valeur probante au décompte personnel de l'employé (arrêt du Tribunal fédéral 4A_467/2011 du 3 janvier 2012 consid. 5; DUNAND in DUNAND/MAHON, Commentaire du contrat de travail, Berne 2013, n° 50 ad art. 321c CO).</w:t>
      </w:r>
    </w:p>
    <w:p>
      <w:r>
        <w:rPr>
          <w:b/>
        </w:rPr>
        <w:t>E. 2.5</w:t>
      </w:r>
    </w:p>
    <w:p>
      <w:r>
        <w:t>En l'espèce, l'intimé allègue avoir fourni des heures supplémentaires de travail, non compensées par des congés.</w:t>
      </w:r>
    </w:p>
    <w:p>
      <w:r>
        <w:t>- 10/12 -</w:t>
      </w:r>
    </w:p>
    <w:p>
      <w:r>
        <w:t>C/17891/2014-2</w:t>
      </w:r>
    </w:p>
    <w:p>
      <w:r>
        <w:t>L'appelant conteste toute heure supplémentaire travaillée par l'intimé et non compensée par des congés.</w:t>
      </w:r>
    </w:p>
    <w:p>
      <w:r>
        <w:t>Les témoignages n'ont pas permis d'établir avec certitude des heures supplémentaires travaillées par l'intimé. En effet, les heures travaillées par les deux aides-cuisine étaient suffisamment inférieures aux 45 heures de travail contractuelles de l'intimé pour permettre à celui-ci de rester dans le cadre des 45 heures par semaine, tout en arrivant avant les aides-cuisine et en partant après eux. Quant au témoignage de la serveuse ayant remplacé l'intimé, il ne permet pas de conclure à des heures supplémentaires travaillées par l'intimé, mais ne les exclut pas non plus de façon certaine, puisque la nouvelle serveuse pouvait aussi être plus efficace et mieux organisée que l'intimé, de manière à économiser du temps sur les travaux ne relevant pas directement du service aux clients, mais par exemple de la préparation de la salle, des commandes, de la mise à jour de la carte et du nettoyage des locaux.</w:t>
      </w:r>
    </w:p>
    <w:p>
      <w:r>
        <w:t>Un certain indice d'heures supplémentaires travaillées par l'intimé résulte toutefois du témoignage de l'un des aides-cuisine qui a déclaré avoir parfois travaillé lui- même des heures supplémentaires non compensées, ni payées.</w:t>
      </w:r>
    </w:p>
    <w:p>
      <w:r>
        <w:t>L'intimé fournit des décomptes d'heures détaillés établis par lui-même, à sa propre initiative, dont résultent des heures supplémentaires non compensées, tandis qu'avant le 28 janvier 2014, l'appelant n'a pas enregistré les heures travaillées par l'intimé, en violation de son obligation découlant de la convention collective applicable aux parties.</w:t>
      </w:r>
    </w:p>
    <w:p>
      <w:r>
        <w:t>Cette convention collective était par ailleurs applicable à toute la gastronomie suisse depuis de plus de dix ans, au moment de l'engagement de l'intimé au restaurant de l'appelant, de sorte que ce dernier devait déjà bien la connaître.</w:t>
      </w:r>
    </w:p>
    <w:p>
      <w:r>
        <w:t>Le nombre d'heures supplémentaires résultant des décomptes précis établis par l'intimé ne paraît pas invraisemblable en tant que tel. La diminution des heures travaillées par l'intimé à partir de l'enregistrement de ces heures par l'appelant peut s'expliquer, d'une part, par une prise de conscience, par l'appelant, du nombre d'heures dont l'intimé avait besoin pour accomplir ses tâches et, d'une part, par l'aide apportée à l'intimé par l'appelant et par la sœur de celui-ci.</w:t>
      </w:r>
    </w:p>
    <w:p>
      <w:r>
        <w:t>Dans ces conditions, la Cour admet les décomptes précis établis par l'intimé comme preuves tant de l'existence que de l'ampleur des heures travaillées par celui-ci. Est sans pertinence, à cet égard, l'absence de reconnaissance écrite de l'exactitude de ces décomptes, par l'appelant. Celui-ci n'a qu'à s'en prendre à lui- même si, avant le 28 janvier 2014, il n'a pas enregistré par écrit les heures travaillées par l'appelant, ni délégué cet enregistrement écrit à l'intimé, avant de signer le décompte, respectivement avant de le faire signer par l'intimé au moins une fois par mois, comme il en avait l'obligation.</w:t>
      </w:r>
    </w:p>
    <w:p>
      <w:r>
        <w:t>- 11/12 -</w:t>
      </w:r>
    </w:p>
    <w:p>
      <w:r>
        <w:t>C/17891/2014-2</w:t>
      </w:r>
    </w:p>
    <w:p>
      <w:r>
        <w:t>Par ailleurs, l'appelant était régulièrement présent au restaurant en sa qualité de cuisinier et de patron, de sorte qu'il ne pouvait ignorer que l'intimé travaillait des heures supplémentaires. L'intimé pouvait donc déduire du silence de l'appelant, de bonne foi, que celui-ci approuvait le principe de ce travail supplémentaire.</w:t>
      </w:r>
    </w:p>
    <w:p>
      <w:r>
        <w:t>Les heures supplémentaires travaillées par l'intimé étaient d'ailleurs aussi indispensables à la bonne marche du restaurant, compte tenu de l'ampleur du cahier des charges de l'intimé, d'une part, et de son efficacité et rapidité, d'autre part. En particulier, une éventuelle lenteur ou inefficacité de l'intimé n'enlevait rien au caractère nécessaire de ses heures supplémentaires puisque son salaire avait été fixé d'après son temps de travail, et non pas d'après son travail fourni (salaire aux pièces ou à la tâche, cf. art. 319 al. 1 CO in fine).</w:t>
      </w:r>
    </w:p>
    <w:p>
      <w:r>
        <w:t>Par conséquent, les heures supplémentaires travaillées par l'intimé ont été fournies en faveur de l'appelant qui doit les rémunérer.</w:t>
      </w:r>
    </w:p>
    <w:p>
      <w:r>
        <w:t>Pour le calcul du nombre des heures supplémentaires et de la rémunération supplémentaire en résultant, la Cour renvoie au calcul précis du Tribunal des prud'hommes, non contesté en tant que tel.</w:t>
      </w:r>
    </w:p>
    <w:p>
      <w:r>
        <w:t>Aussi convient-il de confirmer les ch. 4 et 5 du dispositif du jugement entrepris.</w:t>
      </w:r>
    </w:p>
    <w:p>
      <w:r>
        <w:rPr>
          <w:b/>
        </w:rPr>
        <w:t>E. 3</w:t>
      </w:r>
    </w:p>
    <w:p>
      <w:r>
        <w:t>Il n'est pas perçu de frais (art. 114 let. c et 116 al. 1 CPC; art. 19 al. 3 LaCC, art. 71 RTFMC), ni alloué de dépens (art. 22 al. 2 LaCC). * * * * *</w:t>
      </w:r>
    </w:p>
    <w:p>
      <w:r>
        <w:t>- 12/12 -</w:t>
      </w:r>
    </w:p>
    <w:p>
      <w:r>
        <w:t>C/17891/2014-2 PAR CES MOTIFS, La Chambre des prud'hommes, groupe 2 : A la forme : Déclare recevable l'appel interjeté le 7 septembre 2015 par A.______ contre les chiffres</w:t>
      </w:r>
    </w:p>
    <w:p>
      <w:r>
        <w:rPr>
          <w:b/>
        </w:rPr>
        <w:t>E. 4</w:t>
      </w:r>
    </w:p>
    <w:p>
      <w:r>
        <w:t>et 5 du dispositif du jugement JTPH/287/2015 rendu le 7 juillet 2015 par le Tribunal des prud'hommes dans la cause C/17891/2014-2. Au fond : Confirme les chiffres 4 et 5 du dispositif de ce jugement. Déboute les parties de toutes autres conclusions. Sur les frais : Dit qu'il n'est pas perçu de frais. Dit qu'il n'est pas alloué de dépens. Siégeant : Madame Nathalie LANDRY-BARTHE, présidente; Monsieur Daniel CHAPELON, juge employeur, Monsieur Marc LABHART, juge salarié; Madame Véronique BULUNDWE-LÉVY, greffière.</w:t>
      </w:r>
    </w:p>
    <w:p>
      <w:r>
        <w:t>La présidente : Nathalie LANDRY-BARTHE</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