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CAPH/109/2015 vom 26. Juni 2015</w:t>
      </w:r>
    </w:p>
    <w:p>
      <w:r>
        <w:t>GE Cour de justice, 2015-06-26, FR</w:t>
      </w:r>
    </w:p>
    <w:p>
      <w:r>
        <w:rPr>
          <w:b/>
        </w:rPr>
        <w:t xml:space="preserve">Quelle: </w:t>
      </w:r>
      <w:r>
        <w:t>https://mcp.opencaselaw.ch/entscheid/ge_gerichte_CAPH_109_2015</w:t>
      </w:r>
    </w:p>
    <w:p>
      <w:r>
        <w:t>FR: GE_GERICHTE CAPH/109/2015 du 26 juin 2015</w:t>
      </w:r>
    </w:p>
    <w:p>
      <w:r>
        <w:t>IT: GE_GERICHTE CAPH/109/2015 del 26 giugno 2015</w:t>
      </w:r>
    </w:p>
    <w:p>
      <w:pPr>
        <w:pStyle w:val="Heading2"/>
      </w:pPr>
      <w:r>
        <w:t>Erwägungen</w:t>
      </w:r>
    </w:p>
    <w:p>
      <w:r>
        <w:rPr>
          <w:b/>
        </w:rPr>
        <w:t>E. 1</w:t>
      </w:r>
    </w:p>
    <w:p>
      <w:r>
        <w:t>L'appel, écrit et motivé, formé dans les trente jours, est recevable contre les décisions finales de première instance, lorsque la valeur litigieuse est supérieure à 10'000 fr. (art. 308, 311 CPC). Selon l'art. 147 CPC, une partie est défaillante lorsqu'elle omet d'accomplir un acte de procédure dans le délai prescrit ou ne se présente pas lorsqu'elle est citée à comparaître (al. 1), que la procédure suit son cours sans qu'il soit tenu compte de son défaut, à moins que la loi n'en dispose autrement (al. 2), que le Tribunal rend les parties attentives aux conséquences du défaut (al. 3). Si une décision a été communiquée à une partie défaillante, une restitution peut être requise, lorsque le défaut ne lui est pas imputable ou n'est imputable qu'à une faute légère, dans les dix jours qui suivent celui où la cause du défaut a disparu, la</w:t>
      </w:r>
    </w:p>
    <w:p>
      <w:r>
        <w:t>- 4/5 -</w:t>
      </w:r>
    </w:p>
    <w:p>
      <w:r>
        <w:t>C/24400/2013-1 restitution ne pouvait être demandée que dans les six mois qui suivent l'entrée en force de la décision (art. 148 al. 1 à 3 CPC). La partie requérante supporte le fardeau de la preuve quant au motif de la restitution, en ce sens qu'elle doit rendre vraisemblables les motifs pour lesquels le défaut ne lui serait pas imputable ou ne serait imputable qu'à une faute légère, avec les pièces correspondantes (GOZZI, Commentaire bâlois, 2ème éd. 2013, n. 38, 39 ad art. 148; HOFFMANN-NOWOTNY, Kurzkommentar ZPO, OBERHAMMER, 2ème éd., 2014, n. 9 ad art. 148); FREI, Commentaire bernois, 2012, n. 36 ad art. 148). Le défaillant ne peut faire valoir, dans un appel, que des griefs liés aux prescriptions sur les conséquences du défaut, aux citations et convocations (WILLISEGGER, Commentaire bâlois, 2ème éd. 2013, n. 30 ad art. 234 CPC). En l'occurrence, il est constant que l'appelante, dûment avertie de la procédure, nantie d'un délai pour répondre, et citée à comparaître aux débats (avec remise du texte de l'art. 234 CPC, rappelant les conséquences du défaut), a été défaillante puisqu'elle n'a pas déposé de réponse ni n'a été présente ou représentée à l'audience du Tribunal. Elle a formé une requête de restitution auprès du Tribunal, lequel l'a rejetée par décision définitive, de sorte qu'il n'y a pas lieu de revenir sur ce point.</w:t>
      </w:r>
    </w:p>
    <w:p>
      <w:r>
        <w:t>Pour le surplus, le présent appel, formé dans le délai prévu par la loi, n'est pas recevable puisqu'il ne comporte aucun grief lié aux prescriptions relatives au défaut, l'appelante ne faisant valoir que des arguments ayant trait au fond du litige.</w:t>
      </w:r>
    </w:p>
    <w:p>
      <w:r>
        <w:rPr>
          <w:b/>
        </w:rPr>
        <w:t>E. 2</w:t>
      </w:r>
    </w:p>
    <w:p>
      <w:r>
        <w:t>Il n'est pas perçu de frais (art. 114 let. c CPC) ni alloué de dépens (art. 22 al. 2 LaCC). * * * * *</w:t>
      </w:r>
    </w:p>
    <w:p>
      <w:r>
        <w:t>- 5/5 -</w:t>
      </w:r>
    </w:p>
    <w:p>
      <w:r>
        <w:t>C/24400/2013-1 PAR CES MOTIFS, La Chambre des prud'hommes, groupe 1 : Déclare irrecevable l'appel formé par A______Sàrl contre le jugement rendu le 23 décembre 2014 par le Tribunal des prud'hommes. Siégeant : Madame Sylvie DROIN, présidente; Monsieur Roberto SPINELLI, juge employeur, Monsieur Roger EMMENEGGER, juge salarié; Madame Véronique BULUNDWE-LÉVY, greffière.</w:t>
      </w:r>
    </w:p>
    <w:p>
      <w:r>
        <w:t>La présidente : Sylvie DROIN</w:t>
      </w:r>
    </w:p>
    <w:p>
      <w:r>
        <w:t>La greffière : Véronique BULUNDWE-LÉVY</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