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CAPH/108/2019 vom 21. Juni 2019</w:t>
      </w:r>
    </w:p>
    <w:p>
      <w:r>
        <w:t>GE Cour de justice, 2019-06-21, FR</w:t>
      </w:r>
    </w:p>
    <w:p>
      <w:r>
        <w:rPr>
          <w:b/>
        </w:rPr>
        <w:t xml:space="preserve">Quelle: </w:t>
      </w:r>
      <w:r>
        <w:t>https://mcp.opencaselaw.ch/entscheid/ge_gerichte_CAPH_108_2019</w:t>
      </w:r>
    </w:p>
    <w:p>
      <w:r>
        <w:t>FR: GE_GERICHTE CAPH/108/2019 du 21 juin 2019</w:t>
      </w:r>
    </w:p>
    <w:p>
      <w:r>
        <w:t>IT: GE_GERICHTE CAPH/108/2019 del 21 giugno 2019</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de première instance, est supérieure à 10'000 fr. (art. 308 al. 2 CPC).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t>La décision par laquelle le tribunal met fin au procès en déclarant la demande irrecevable (art. 59 et 60) constitue une décision finale au sens de l'art. 308 al. 1 let. a CPC (JEANDIN, in CPC Commenté, 2ème éd. 2019, n. 7 ad art. 308 CPC). Est également assimilée à une décision finale la décision partielle par laquelle le juge statue sur un objet indépendant de celui qui reste en cause ou met fin à la procédure à l'égard d'une partie des consorts (JEANDIN, op. cit., n. 8 ad art. 308 CPC). Les décisions se rapportant à la préparation et à la conduite des débats sont assimilées à des ordonnances d'instruction sujettes à recours au sens de l'art. 319 let. b CPC. Relèvent notamment de cette catégorie les décisions par lesquelles le tribunal fixe ou prolonge des délais (art. 101, 223 al. 1 et 144 al. 2 CPC) ou ordonne un échange d'écritures (art. 225 CPC; JEANDIN, op. cit., n. 14 ad art. 319 CPC).</w:t>
      </w:r>
    </w:p>
    <w:p>
      <w:r>
        <w:rPr>
          <w:b/>
        </w:rPr>
        <w:t>E. 1.2</w:t>
      </w:r>
    </w:p>
    <w:p>
      <w:r>
        <w:t>En l'espèce, le chiffre 2 du dispositif du jugement du 8 octobre 2017 déclare irrecevables les conclusions en paiement prises par l'appelante dans son écriture du 4 mai 2017 envers B______ SA et de C______ LTD. Il met ainsi fin au procès</w:t>
      </w:r>
    </w:p>
    <w:p>
      <w:r>
        <w:t>- 7/14 -</w:t>
      </w:r>
    </w:p>
    <w:p>
      <w:r>
        <w:t>C/4257/2016-3 en tant qu'il portait sur ces conclusions, de même qu'il clôt la procédure à l'encontre de C______ LTD. Sous cet angle, le jugement querellé constitue une décision finale. La valeur litigieuse de la cause étant supérieure à 10'000 fr., la voie de l'appel est ouverte à l'encontre de cette partie du dispositif. Interjeté auprès de l'autorité compétente (art. 124 let. a LOJ), dans le délai utile de trente jours et selon la forme prescrite par la loi (art. 130 al. 1, 142 al. 1, et 311 CPC), l'appel est dès lors recevable en tant qu'il vise le chiffre 2 du dispositif querellé. En tant qu'il déclare irrecevables les déterminations contenues au chiffre V de l'écriture du 4 mai 2017 de l'appelante, le chiffre 3 du dispositif du jugement du 8 octobre 2017 constitue en revanche une ordonnance d'instruction qui ne peut être attaquée que par la voie du recours. L'appel dirigé contre cette partie du dispositif est irrecevable, faute d'avoir été formé dans le délai de dix jours prévu par la loi, et ce indépendamment de la question de savoir s'il aurait pu être converti en recours (cf. arrêt du Tribunal fédéral 5A_221/2018 du 4 juin 2018 consid. 3.3.1).</w:t>
      </w:r>
    </w:p>
    <w:p>
      <w:r>
        <w:rPr>
          <w:b/>
        </w:rPr>
        <w:t>E. 1.3</w:t>
      </w:r>
    </w:p>
    <w:p>
      <w:r>
        <w:t>Les réponses des intimées ainsi que les réplique et dupliques des parties sont recevables dans la mesure où elles ont été déposées dans les délais légaux, respectivement impartis à cet effet (art. 312 al. 2, 316 al. 1 CPC).</w:t>
      </w:r>
    </w:p>
    <w:p>
      <w:r>
        <w:rPr>
          <w:b/>
        </w:rPr>
        <w:t>E. 2</w:t>
      </w:r>
    </w:p>
    <w:p>
      <w:r>
        <w:t>C______ LTD conclut, à la forme, à ce qu'un délai soit imparti à l'appelante pour produire une procuration valable en faveur de son représentant, sous peine d'irrecevabilité de l'appel. Elle relève que la procuration jointe à l'appel date du 11 février 2016 et confère mandat au conseil de l'appelante de représenter et d'assister sa cliente dans une procédure à l'encontre de B______ SA, sans mentionner C______ LTD. Cette procuration n'autorisait par conséquent pas le conseil de l'appelante à interjeter un appel contre C______ LTD.</w:t>
      </w:r>
    </w:p>
    <w:p>
      <w:r>
        <w:rPr>
          <w:b/>
        </w:rPr>
        <w:t>E. 2.1</w:t>
      </w:r>
    </w:p>
    <w:p>
      <w:r>
        <w:t>A teneur de l'art. 68 CPC, toute personne capable d'ester en justice peut se faire représenter au procès (al. 1). Le représentant doit justifier de ses pouvoirs par une procuration (al. 3).</w:t>
      </w:r>
    </w:p>
    <w:p>
      <w:r>
        <w:t>La procuration exigée par cette disposition n'a pas à être produite à chaque stade de la procédure, si elle formulée en termes larges. Le dépôt devant l'autorité de conciliation pourrait dès lors suffire (BOHNET, in CPC Commenté, 2ème éd. 2019, n. 26 ad art. 68 CPC).</w:t>
      </w:r>
    </w:p>
    <w:p>
      <w:r>
        <w:rPr>
          <w:b/>
        </w:rPr>
        <w:t>E. 2.2</w:t>
      </w:r>
    </w:p>
    <w:p>
      <w:r>
        <w:t>En l'espèce, la procuration jointe à la requête de conciliation du 22 février 2016 donnait mandat au conseil de l'appelante de représenter et d'assister cette dernière dans le cadre de la procédure à l'encontre de B______ SA "ainsi qu'en</w:t>
      </w:r>
    </w:p>
    <w:p>
      <w:r>
        <w:t>- 8/14 -</w:t>
      </w:r>
    </w:p>
    <w:p>
      <w:r>
        <w:t>C/4257/2016-3 relation avec tous mandats connexes, parallèles ou subséquents", ledit conseil pouvant notamment représenter l'appelante "devant toute juridiction". Or, les conclusions formulées par l'appelante à l'encontre de C______ LTD dans ses écritures du 4 mai 2017 reposent, en partie, sur les faits décrits dans la demande diligentée à l'encontre de B______ SA. Cet acte procédural était dès lors couvert par la procuration susmentionnée. Cette procuration autorisant le conseil de l'appelante à agir devant toute juridiction, il n'y a par ailleurs pas lieu d'exiger de l'appelante qu'elle produise une nouvelle procuration au stade de l'appel. La conclusion formulée en ce sens par C______ LTD est dès lors mal fondée.</w:t>
      </w:r>
    </w:p>
    <w:p>
      <w:r>
        <w:rPr>
          <w:b/>
        </w:rPr>
        <w:t>E. 3</w:t>
      </w:r>
    </w:p>
    <w:p>
      <w:r>
        <w:t>L'appelante reproche au Tribunal de s'être déclaré matériellement incompétent pour examiner les nouvelles conclusions qu'elle avait formulées à l'encontre de C______ LTD. Elle fait en substance valoir que l'art. 1 al. 1 let. a LTPH, à teneur duquel le tribunal des prud'hommes connaît principalement des litiges découlant d'un contrat de travail au sens du titre dixième du Code des obligations, engloberait tous les rapports contractuels, de quelque nature que ce soit, qui sont intrinsèquement liés à la relation de travail. Or, le plan d'actions auquel elle avait souscrit était intrinsèquement lié au contrat de travail qu'elle avait conclu avec B______ SA, de sorte que le Tribunal des prud'hommes était compétent ratione materiae pour connaître de cet aspect du litige.</w:t>
      </w:r>
    </w:p>
    <w:p>
      <w:r>
        <w:rPr>
          <w:b/>
        </w:rPr>
        <w:t>E. 3.1</w:t>
      </w:r>
    </w:p>
    <w:p>
      <w:r>
        <w:t>Selon l'art. 59 al. 1 et 2 let. b CPC, le tribunal n'entre en matière que sur les demandes et les requêtes qui satisfont aux conditions de recevabilité de l'action, notamment celles selon lesquelles le tribunal est compétent à raison de la matière et du lieu. Le tribunal examine d'office si les conditions de recevabilité sont remplies (art. 60 CPC).</w:t>
      </w:r>
    </w:p>
    <w:p>
      <w:r>
        <w:rPr>
          <w:b/>
        </w:rPr>
        <w:t>E. 3.1.1</w:t>
      </w:r>
    </w:p>
    <w:p>
      <w:r>
        <w:t>L'art. 1er de la loi genevoise sur le Tribunal des prud'hommes du 11 février 2010 règle la compétence matérielle de cette autorité (LTPH – RS/GE E 3 10). Ce tribunal connaît principalement des litiges découlant d'un contrat de travail au sens du titre dixième du Code des obligations (art. 1 al. 1 let. a LTPH).</w:t>
      </w:r>
    </w:p>
    <w:p>
      <w:r>
        <w:rPr>
          <w:b/>
        </w:rPr>
        <w:t>E. 3.1.2</w:t>
      </w:r>
    </w:p>
    <w:p>
      <w:r>
        <w:t>Par le contrat de travail, le travailleur s'engage, pour une durée déterminée ou indéterminée, à travailler au service de l'employeur et celui-ci à payer un salaire fixé d'après le temps ou le travail fourni (salaire aux pièces ou à la tâche) (cf. art. 319 al. 1 CO). Lorsque l'employé souscrit à un plan d'intéressement proposé par la société qui l'emploie ou, par exemple, par la société holding qui détient cette dernière, il convient de distinguer les cas dans lesquels la participation se présente comme</w:t>
      </w:r>
    </w:p>
    <w:p>
      <w:r>
        <w:t>- 9/14 -</w:t>
      </w:r>
    </w:p>
    <w:p>
      <w:r>
        <w:t>C/4257/2016-3 une partie intégrante du contrat de travail, notamment du fait qu'elle représente une partie du salaire de l'employé, ou s'il s'agit d'un investissement distinct de ce dernier, l'employé agissant alors principalement en tant qu'investisseur et acceptant le risque lié à son investissement dans l'espoir d'un gain important. Cette question doit être examinée en fonction des circonstances concrètes du cas (ATF 130 III 495 consid. 4.2.1 s., in JdT 2005 I 79). Ainsi, si l'employé peut acquérir des droits d'option à un prix avantageux, ces derniers pourront être considérés comme une partie de son salaire (ATF 130 III 495 consid. 4.2.1 s., in JdT 2005 I 79). Lorsque l'opération est financée par un prêt de l'employeur, dont les conditions d'intérêts et de remboursement correspondent aux conditions du marché des capitaux, et qui n'est pas remboursable avec des prélèvements à opérer sur le salaire, l'acquisition des actions ne constitue à l'inverse pas un élément de rémunération (arrêt du Tribunal fédéral 4A_506/2008 du 11 février 2009 consid. 5). Le fait que le plan d'intéressement résulte d'un contrat distinct, liant le travailleur à une autre personne morale que l'employeur, n'empêche pas de considérer qu'il constitue une partie intégrante du contrat de travail (arrêts du Tribunal fédéral 4A_242/2014 du 2 septembre 2014 consid. 4; 4A_175/2014 du 8 juillet 2014 consid. 4). En revanche, le fait que l'employé puisse acquérir des actions en raison de sa qualité de collaborateur d'une des sociétés appartenant au groupe ne conduit pas nécessairement à retenir que le plan d'intéressement fait partie intégrante dudit contrat (ATF 130 III 495 consid. 4.2.1 s., in JdT 2005 I 79).</w:t>
      </w:r>
    </w:p>
    <w:p>
      <w:r>
        <w:rPr>
          <w:b/>
        </w:rPr>
        <w:t>E. 3.1.3</w:t>
      </w:r>
    </w:p>
    <w:p>
      <w:r>
        <w:t>Lorsqu'il doit statuer d'entrée de cause sur sa compétence (art. 59 al. 2 let. b CPC), le tribunal doit tout d'abord examiner si le ou les faits pertinents de la disposition légale applicable, en l'occurrence l'art. 34 al. 1 CPC, sont des faits simples ou des faits doublement pertinents, les exigences de preuve étant différentes pour les uns et pour les autres (ATF 137 III 32 consid. 2.2; arrêt du Tribunal fédéral 4A_73/2015 du 26 juin 2015 consid. 4.1). Les faits sont doublement pertinents lorsque les faits déterminants pour la compétence du tribunal sont également ceux qui sont déterminants pour le bien- fondé de l'action. Conformément à la théorie dite de la double pertinence, le juge saisi examine sa compétence sur la base des allégués, moyens et conclusions de la demande ("der eingeklagte Anspruch und dessen Begründung"), sans tenir compte des objections de la partie défenderesse et sans procéder à aucune administration de preuves.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5.1 s.; arrêt du Tribunal fédéral 4A_73/2015 précité consid. 4.1.2 et 4.2).</w:t>
      </w:r>
    </w:p>
    <w:p>
      <w:r>
        <w:t>- 10/14 -</w:t>
      </w:r>
    </w:p>
    <w:p>
      <w:r>
        <w:t>C/4257/2016-3 En d'autres termes, au stade de l'examen et de la décision sur la compétence, qui ont lieu d'entrée de cause, les faits doublement pertinents n'ont pas à être prouvés; ils sont censés établis sur la base des allégués, moyens et conclusions du demandeur (ATF 141 III 294 consid. 5.2; arrêt du Tribunal fédéral 4A_73/2015 précité consid. 4.1.2). Il faut cependant que les faits doublement pertinents allégués par le demandeur soient concluants, c'est-à-dire qu'ils permettent au tribunal d'apprécier (juridiquement) si l'action introduite relève bien du contrat de travail (ATF 137 III 32 consid. 2.2; arrêt du Tribunal fédéral 4A_73/2015 précité consid. 4.1.3 et 4.2). 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141 III 294 consid. 5.3; arrêt du Tribunal fédéral 4A_73/2015 précité consid. 4.1.4) S'il se pose une question délicate de délimitation, elle devra être examinée lors de l'examen du bien-fondé de la prétention au fond. Au stade de l'examen de la compétence, il suffit que la qualification de contrat de travail puisse être considérée comme plausible sur la base des allégués du demandeur (ATF 137 III 32 consid. 2.4.2; arrêt du Tribunal fédéral 4A_73/2015 précité consid. 4.2).</w:t>
      </w:r>
    </w:p>
    <w:p>
      <w:r>
        <w:rPr>
          <w:b/>
        </w:rPr>
        <w:t>E. 3.2.1</w:t>
      </w:r>
    </w:p>
    <w:p>
      <w:r>
        <w:t>En l'espèce, le Tribunal a statué d'entrée de cause sur sa compétence pour connaître des nouvelles conclusions formulées par l'appelante dans son écriture du</w:t>
      </w:r>
    </w:p>
    <w:p>
      <w:r>
        <w:rPr>
          <w:b/>
        </w:rPr>
        <w:t>E. 3.2.2</w:t>
      </w:r>
    </w:p>
    <w:p>
      <w:r>
        <w:t>In casu, l'appelante a notamment allégué, dans sa demande du 29 avril 2016, au chapitre intitulé "Du contrat de travail conclu entre les parties", qu'elle s'était vu octroyer, dans le cadre de ce contrat de travail et au titre de sa rémunération, des actions de B______ SA. Elle a ajouté qu'elle avait acquis celles-ci au moyen de prêts octroyés par son employeur et qu'elle avait décidé de les revendre dans le courant de l'année 2013, le prix de rachat devant lui être payé en trois versements de 1'022'699 dollars US les 31 juillet 2014, 2015 et 2016. Elle a ensuite précisé dans sa réponse à la demande reconventionnelle que B______ SA et C______ LTD constituaient, sur le plan économique, une seule et même entité et que le plan d'intéressement auquel elle avait souscrit était intrinsèquement lié à son contrat de travail et à sa qualité d'employée. Or, lors du paiement de la dernière tranche du montant qui lui était dû, selon elle, par B______ SA, C______ LTD avait retenu un montant de 211'274 fr. 25, correspondant à la somme que B______ SA lui avait réclamée dans sa demande reconventionnelle du 1er septembre 2016 à titre de remboursement de deux prêts et de vacances prises en trop. L'appelante a dès lors fait valoir, dans son écriture complémentaire du 4 mai 2017, que B______ SA, respectivement C______ LTD, avaient contrevenu à leurs obligations contractuelles et opéré cette compensation sans droit dès lors qu'elles prétendaient être des entités distinctes. Elle se devait par conséquent d'attraire C______ LTD pour que cette dernière lui verse, conjointement et solidairement avec B______ SA le solde du montant qui lui était dû, soit la somme de 211'274 fr. 25 retenue. Eu égard aux principes susmentionnés, la seule affirmation de l'appelante selon laquelle le plan d'intéressement auquel elle avait souscrit était intrinsèquement lié à son contrat de travail ne suffit pas pour considérer, d'un point de vue juridique, que celui-ci fait partie intégrante de son contrat de travail. Cette question doit être examinée en fonction de l'ensemble des circonstances du cas, telles qu'alléguées par l'appelante. Celle-ci a certes affirmé, sur ce point, que les actions litigieuses lui avaient été octroyées "à titre de rémunération". Cette allégation est toutefois en contradiction manifeste avec le contrat de travail qu'elle a produit, lequel ne prévoit aucune rémunération de ce type. Elle est de surcroît contredite par l'allégué suivant, dans lequel l'appelante indique avoir acquis les actions en question au moyen de prêts octroyés par son employeur, et donc à titre onéreux. L'appelante n'ayant pas décrit les conditions d'octroi du prêt susmentionné, il ne peut pas non plus être considéré que l'acquisition des actions aurait constitué un</w:t>
      </w:r>
    </w:p>
    <w:p>
      <w:r>
        <w:t>- 12/14 -</w:t>
      </w:r>
    </w:p>
    <w:p>
      <w:r>
        <w:t>C/4257/2016-3 élément de rémunération au motif qu'elle aurait été rendue possible grâce à un prêt accordé à des conditions particulièrement avantageuses. Elle n'a pas non plus fait valoir que le prix auquel elle avait pu acquérir les actions du groupe B______ aurait été inférieur à leur valeur réelle, ni que le prix auquel celles-ci lui auraient été rachetées par la suite aurait été supérieur à ladite valeur. Elle n'affirme ainsi pas que le gain obtenu au moyen de l'investissement effectué aurait constitué une contrepartie du travail fourni. Le fait que B______ SA ait admis que pour calculer le montant des bonus alloués à ses employés, elle tenait compte des gains réalisés par ces derniers dans le cadre de la vente de leurs actions C______ n'est pas non plus pertinent. Il ne peut en effet être inféré de cette affirmation que les bénéfices découlant de la vente desdites actions auraient constitué un élément du salaire des employés. Conformément à la jurisprudence, le simple fait que l'appelante ait pu acquérir les actions susmentionnées en raison de sa qualité d'employée d'une des sociétés du groupe B______ ne permet pas non plus de considérer que son adhésion au plan d'intéressement litigieux constituait une partie intégrante de son contrat de travail (cf. ATF 130 III 495 consid. 4.2.1 s., in JdT 2005 I 79). Bien qu'elle prétende que B______ SA et C______ LTD formaient en réalité une seule et même entité ("Durchgriff"), l'appelante n'affirme enfin pas que le montant que ces sociétés restent lui devoir, à titre de rachat de ses actions, aurait le caractère d'une créance salariale. Elle ne soutient pas non plus que les modalités de rachat de ses actions et le refus de B______ SA et C______ LTD de s'acquitter du solde qui lui est dû contreviendraient à des dispositions impératives du droit du travail. Ainsi, à teneur des allégués, moyens et conclusions contenus dans les écritures de l'appelante, la prétention que cette dernière invoque à l'encontre de B______ SA et C______ LTD résulte exclusivement de l'investissement auquel elle a procédé et constitue dès lors une prétention distincte de celles fondées sur son contrat de travail. Or, le fait que C______ LTD, respectivement B______ SA, aient déclaré compenser le montant qu'elles restent devoir à l'appelante, à titre de rachat de ses actions, avec la somme que B______ SA réclame à cette dernière dans le cadre de la procédure prud'homale, ne saurait avoir pour effet de transformer une créance ne résultant pas du contrat de travail conclu par l'appelante, en une prétention qui relèverait désormais dudit contrat. Au vu de ce qui précède, la décision du Tribunal de se déclarer incompétent ratione materiae pour statuer sur les conclusions formulées par l'appelante à l'encontre de B______ SA et de C______ LTD dans son écriture du 4 mai 2017 sera confirmée, sans qu'il soit nécessaire d'examiner les autres motifs exposés dans la décision entreprise.</w:t>
      </w:r>
    </w:p>
    <w:p>
      <w:r>
        <w:t>- 13/14 -</w:t>
      </w:r>
    </w:p>
    <w:p>
      <w:r>
        <w:t>C/4257/2016-3</w:t>
      </w:r>
    </w:p>
    <w:p>
      <w:r>
        <w:rPr>
          <w:b/>
        </w:rPr>
        <w:t>E. 4</w:t>
      </w:r>
    </w:p>
    <w:p>
      <w:r>
        <w:t>Les frais judiciaires d'appel, arrêtés à 3'000 fr., seront mis à la charge de l'appelante, qui succombe (art. 95 et 106 al. 1 CPC; art. 71 RTFMC). Ils seront compensés par l'avance du même montant effectuée par celle-ci, qui reste acquise à l'Etat de Genève (art. 111 al. 1 CPC). Il ne sera pas alloué de dépens (art. 22 al. 2 LaCC).</w:t>
      </w:r>
    </w:p>
    <w:p>
      <w:r>
        <w:rPr>
          <w:b/>
        </w:rPr>
        <w:t>E. 5</w:t>
      </w:r>
    </w:p>
    <w:p>
      <w:r>
        <w:t>Le présent arrêt est susceptible d'un recours en matière civile au Tribunal fédéral (art. 72 al. 1 LTF), la valeur litigieuse étant supérieure à 15'000 fr. (art. 74 al. 1 let. a LTF).</w:t>
      </w:r>
    </w:p>
    <w:p>
      <w:r>
        <w:t>* * * * *</w:t>
      </w:r>
    </w:p>
    <w:p>
      <w:r>
        <w:t>- 14/14 -</w:t>
      </w:r>
    </w:p>
    <w:p>
      <w:r>
        <w:t>C/4257/2016-3</w:t>
      </w:r>
    </w:p>
    <w:p>
      <w:r>
        <w:t>PAR CES MOTIFS, La Chambre des prud'hommes, groupe 3 :</w:t>
      </w:r>
    </w:p>
    <w:p>
      <w:r>
        <w:t>Rejette, dans la mesure de sa recevabilité, l'appel interjeté le 8 novembre 2017 par A______ contre le jugement JTPH/387/2017 rendu le 9 octobre 2017 par le Tribunal des prud'hommes dans la cause C/4257/2016-3. Confirme ce jugement. Déboute les parties de toutes autres conclusions. Sur les frais : Arrête les frais judiciaires d'appel à 3'000 fr., les met à la charge de A______ et les compense avec l'avance du même montant fournie par celle-ci, laquelle reste acquise à l'Etat de Genève. Dit qu'il n'est pas alloué de dépens d'appel. Siégeant : Madame Sylvie DROIN, présidente;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