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CAPH/104/2023 vom 19. Oktober 2023</w:t>
      </w:r>
    </w:p>
    <w:p>
      <w:r>
        <w:t>GE Cour de justice, 2023-10-19, FR</w:t>
      </w:r>
    </w:p>
    <w:p>
      <w:r>
        <w:rPr>
          <w:b/>
        </w:rPr>
        <w:t xml:space="preserve">Quelle: </w:t>
      </w:r>
      <w:r>
        <w:t>https://mcp.opencaselaw.ch/entscheid/ge_gerichte_CAPH_104_2023</w:t>
      </w:r>
    </w:p>
    <w:p>
      <w:r>
        <w:t>FR: GE_GERICHTE CAPH/104/2023 du 19 octobre 2023</w:t>
      </w:r>
    </w:p>
    <w:p>
      <w:r>
        <w:t>IT: GE_GERICHTE CAPH/104/2023 del 19 ottobre 2023</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Commentaire romand, Code de procédure civile, 2ème éd. 2019, n. 11 ad art. 319 CPC; FREIBURGHAUS/AFHELDT,</w:t>
      </w:r>
    </w:p>
    <w:p>
      <w:r>
        <w:t>- 5/8 -</w:t>
      </w:r>
    </w:p>
    <w:p>
      <w:r>
        <w:t>C/12058/2021-3 Kommentar zur Schweizerischen Zivilprozessordnung, 3ème éd. 2016,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Il en va ainsi notamment lorsque le tribunal fixe des délais ou ordonne des échanges d'écritures (JEANDIN, in Commentaire romand, Code de procédure civile, 2019, n. 14 ad art. 319 CPC). Quant aux "autres décisions", leur prononcé marque définitivement le cours des débats et déploie – dans cette seule mesure – autorité et force de chose jugée à l'encontre des parties ou des tiers concernés. Une telle qualification échoit par exemple aux décisions statuant sur une récusation, une suspension ou sur l'admission de faits et moyens de preuve nouveaux (JEANDIN, op. cit., n. 15 ad art. 319 CPC).</w:t>
      </w:r>
    </w:p>
    <w:p>
      <w:r>
        <w:rPr>
          <w:b/>
        </w:rPr>
        <w:t>E. 1.2</w:t>
      </w:r>
    </w:p>
    <w:p>
      <w:r>
        <w:t>Dans le cadre de la décision querellée, le Tribunal a statué sur la recevabilité de certains allégués et moyens de preuves nouveaux introduits par les parties. Il a ainsi rendu une "autre décision", qui peut faire l'objet d'un recours. Selon JEANDIN, la distinction entre "autres décisions" et "ordonnances d'instruction" – qui n'est pas toujours aisée – ne joue véritablement de rôle qu'en vue de calculer le délai de recours (JEANDIN, op. cit., n. 16 ad art. 319 CPC). Le recours, écrit et motivé, est en effet introduit auprès de l'instance de recours dans les trente jours à compter de la notification de la décision motivée (art. 321 al. 1 CPC), alors que le délai est de dix jours pour les ordonnances d'instruction (art. 321 al. 2 CPC). En revanche, HOFMANN et LÜSCHER appliquent le délai de recours de dix jours aux ordonnances d'instruction et aux autres décisions, sans distinction entre elles (HOFMAN/LÜSCHER, CPC Le Code de procédure civile, 2023, p. 371).</w:t>
      </w:r>
    </w:p>
    <w:p>
      <w:r>
        <w:rPr>
          <w:b/>
        </w:rPr>
        <w:t>E. 1.3</w:t>
      </w:r>
    </w:p>
    <w:p>
      <w:r>
        <w:t>Le recours, écrit et motivé, a ainsi été introduit selon la forme prescrite. Il a par ailleurs été expédié dans les trente jours suivant la notification de la décision entreprise (art. 142 al. 3, 321 al. 1 CPC), respectant le délai indiqué en bas de page de celle-ci. Selon l'intimée, le recours a été introduit tardivement, le délai de dix jours, applicable en l'espèce, n'ayant pas été respecté. La question du délai à respecter peut toutefois demeurer indécise dans la mesure où le recours est, en tout état, irrecevable pour les motifs exposés ci-dessous.</w:t>
      </w:r>
    </w:p>
    <w:p>
      <w:r>
        <w:rPr>
          <w:b/>
        </w:rPr>
        <w:t>E. 2</w:t>
      </w:r>
    </w:p>
    <w:p>
      <w:r>
        <w:t>Il convient d'examiner si l'ordonnance attaquée est susceptible de causer un préjudice difficilement réparable au recourant, les autres hypothèses visées par l'art. 319 let. b ch. 1 CPC n'étant pas réalisées.</w:t>
      </w:r>
    </w:p>
    <w:p>
      <w:r>
        <w:t>- 6/8 -</w:t>
      </w:r>
    </w:p>
    <w:p>
      <w:r>
        <w:t>C/12058/2021-3</w:t>
      </w:r>
    </w:p>
    <w:p>
      <w:r>
        <w:rPr>
          <w:b/>
        </w:rPr>
        <w:t>E. 2.1</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op. cit., n. 22 ad art. 319 CPC et références citées). Le préjudice sera ainsi considéré comme difficilement réparable s'il ne peut pas être supprimé ou seulement partiellement, même dans l'hypothèse d'une décision finale favorable au recourant (REICH, Schweizerische Zivilprozessordnung, 2010, ad art. 319 CPC n. 8; JEANDIN, op. cit., n. 22a ad art. 319 CPC). En d'autres termes,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op. cit., n. 22 et 22a ad art. 319 CPC). Il appartient au recourant d'alléguer et d'établir la possibilité que la décision attaquée lui cause un préjudice difficilement réparable, à moins que cela ne fasse d'emblée aucun doute (par analogie ATF 134 III 426 consid. 1.2 et 133 III 629 consid. 2.3.1). Si la condition du préjudice difficilement réparable n'est pas remplie, le recours est irrecevable et la partie doit attaquer la décision incidente avec la décision finale sur le fond (ACJC/728/2022 du 31 mai 2022 consid. 2.1; CAPH/35/2018 du 19 mars 2018 consid. 2.1; CAPH/172/2017 du 3 novembre 2017 consid. 2.1; Message du Conseil fédéral du 28 juin 2006 relatif au code de procédure civile suisse [CPC], FF 2006 6841, p. 6984).</w:t>
      </w:r>
    </w:p>
    <w:p>
      <w:r>
        <w:t>- 7/8 -</w:t>
      </w:r>
    </w:p>
    <w:p>
      <w:r>
        <w:t>C/12058/2021-3</w:t>
      </w:r>
    </w:p>
    <w:p>
      <w:r>
        <w:rPr>
          <w:b/>
        </w:rPr>
        <w:t>E. 2.2</w:t>
      </w:r>
    </w:p>
    <w:p>
      <w:r>
        <w:t>En l'espèce, le chiffre 2 du dispositif de l'ordonnance attaquée n'est pas de nature à causer un dommage difficilement réparable au recourant. En effet, quand bien même l'ordonnance entreprise consacrerait une violation des droits procéduraux du recourant, celui-ci pourra en tout état remettre en cause cette décision dans le cadre d'un appel contre le jugement au fond si celui-ci devait lui être défavorable. Ainsi, s'il persiste à considérer que le Tribunal a refusé à tort d'admettre ses allégations présentées le 26 septembre 2022, il pourra diriger ses griefs contre la décision finale par la voie de l'appel prévue par l'art. 308 CPC, l'instance d'appel ayant la possibilité de statuer sur la recevabilité de faits présentés au premier juge (art. 229 CPC), d'administrer des preuves (art. 316 al. 3 CPC) ou de renvoyer la cause en première instance pour complément d'instruction (art. 318 al. 1 let. c CPC), de sorte qu'une violation du principe du double degré de juridiction n'est pas à craindre, contrairement à ce que soutient le recourant. La procédure en serait certes prolongée, mais ce seul inconvénient ne constitue pas un dommage difficilement réparable. Il en va de même des éventuels frais supplémentaires que cela engendrerait. Ainsi, conformément aux principes rappelés ci-dessus et en l'absence de circonstances particulières, la prolongation de la procédure due au fait que la recourante ne pourra attaquer l'ordonnance litigieuse qu'avec le jugement au fond ne constitue pas, en tant que telle, un dommage difficilement réparable. Le recours sera par conséquent déclaré irrecevable</w:t>
      </w:r>
    </w:p>
    <w:p>
      <w:r>
        <w:rPr>
          <w:b/>
        </w:rPr>
        <w:t>E. 3</w:t>
      </w:r>
    </w:p>
    <w:p>
      <w:r>
        <w:t>La valeur litigieuse étant inférieure à 50'000 fr., la procédure est gratuite devant l'instance de recours (art. 116 al. 1 CPC; art. 19 al. 3 let. c LaCC; art. 71 RTFMC). Il n'est par ailleurs pas alloué de dépens (art. 22 al. 2 LaCC). * * * * *</w:t>
      </w:r>
    </w:p>
    <w:p>
      <w:r>
        <w:t>- 8/8 -</w:t>
      </w:r>
    </w:p>
    <w:p>
      <w:r>
        <w:t>C/12058/2021-3 PAR CES MOTIFS, La Chambre des prud'hommes, groupe 3 :</w:t>
      </w:r>
    </w:p>
    <w:p>
      <w:r>
        <w:t>Déclare irrecevable le recours formé le 30 janvier 2023 par A______ contre l'ordonnance OTPH/2254/2022 rendue le 22 décembre 2022 par le Tribunal des prud'hommes dans la cause C/12058/2021-3. Dit qu'il n'est pas prélevé de frais ni alloué de dépens. Siégeant : Madame Jocelyne DEVILLE CHAVANNE, présidente; Monsieur Claudio PANNO, juge employeur; Madame Agnès MINDER-JAEGER, juge salariée; Madame Fabia CURTI, greffière.</w:t>
      </w:r>
    </w:p>
    <w:p>
      <w:r>
        <w:t>La présidente : Jocelyne DEVILLE CHAVANNE</w:t>
      </w:r>
    </w:p>
    <w:p>
      <w:r>
        <w:t>La greffière : Fabia CURTI</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