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CAPH/102/2016 vom 25. November 2015</w:t>
      </w:r>
    </w:p>
    <w:p>
      <w:r>
        <w:t>GE Cour de justice, 2015-11-25, FR</w:t>
      </w:r>
    </w:p>
    <w:p>
      <w:r>
        <w:rPr>
          <w:b/>
        </w:rPr>
        <w:t xml:space="preserve">Quelle: </w:t>
      </w:r>
      <w:r>
        <w:t>https://mcp.opencaselaw.ch/entscheid/ge_gerichte_CAPH_102_2016</w:t>
      </w:r>
    </w:p>
    <w:p>
      <w:r>
        <w:t>FR: GE_GERICHTE CAPH/102/2016 du 25 novembre 2015</w:t>
      </w:r>
    </w:p>
    <w:p>
      <w:r>
        <w:t>IT: GE_GERICHTE CAPH/102/2016 del 25 novembre 2015</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de recours dans le délai de dix jours, si la décision a été rendue en procédure sommaire (art. 314 al. 1 CPC).</w:t>
      </w:r>
    </w:p>
    <w:p>
      <w:r>
        <w:t>- 7/14 -</w:t>
      </w:r>
    </w:p>
    <w:p>
      <w:r>
        <w:t>C/18539/2015-3 La procédure sommaire s'applique aux mesures provisionnelles (art. 248 let. d CPC). Le présent appel, qui respecte la forme et le délai prévus par la loi, est recevable.</w:t>
      </w:r>
    </w:p>
    <w:p>
      <w:r>
        <w:rPr>
          <w:b/>
        </w:rPr>
        <w:t>E. 2</w:t>
      </w:r>
    </w:p>
    <w:p>
      <w:r>
        <w:t>Au vu du domicile français de l'appelant, la présente cause comporte un élément d'extranéité.</w:t>
      </w:r>
    </w:p>
    <w:p>
      <w:r>
        <w:rPr>
          <w:b/>
        </w:rPr>
        <w:t>E. 2.1</w:t>
      </w:r>
    </w:p>
    <w:p>
      <w:r>
        <w:t>Selon l'art. 31 Convention de Lugano (RS 0.275.12; ci-après : CL), les mesures provisoires ou conservatoires prévues par la loi d'un Etat lié par la CL peuvent être demandées aux autorités judiciaires de cet Etat, même si, en vertu de la CL, une juridiction d'un autre Etat lié par la CL est compétente pour connaître du fond. Cette disposition renvoie implicitement à l'art. 10 LDIP relatif aux mesures provisoires (BUCHER, Loi sur le droit international privé - Convention de Lugano, Commentaire romand, 2011, n. 3 ad art. 31 CL). Selon cette dernière disposition, sont notamment compétents pour prononcer des mesures provisoires les tribunaux du lieu de l'exécution de la mesure (let. b).</w:t>
      </w:r>
    </w:p>
    <w:p>
      <w:r>
        <w:rPr>
          <w:b/>
        </w:rPr>
        <w:t>E. 2.2</w:t>
      </w:r>
    </w:p>
    <w:p>
      <w:r>
        <w:t>Les parties ne contestent pas, à juste titre, la compétence des juridictions prud'homales suisses pour trancher le présent litige, dans la mesure où ces parties ont été liées par un contrat de travail et que les mesures provisionnelles sollicitées devront être exécutées à Genève, le cas échéant. Par conséquent, la compétence de la Cour de céans est donnée aussi bien à raison de la matière que du lieu. Le droit suisse est en outre applicable, vu la clause contractuelle d'élection de droit prévue par les parties.</w:t>
      </w:r>
    </w:p>
    <w:p>
      <w:r>
        <w:rPr>
          <w:b/>
        </w:rPr>
        <w:t>E. 3.1</w:t>
      </w:r>
    </w:p>
    <w:p>
      <w:r>
        <w:t>Selon l'art. 317 al. 1 CPC, les faits et les moyens de preuve nouveaux ne sont pris en compte qu'aux conditions suivantes : a. ils sont invoqués ou produits sans retard, b. ils ne pouvaient être invoqués ou produits devant la première instance bien que la partie qui s'en prévaut ait fait preuve de la diligence requise. Les faits notoires ne doivent être ni allégués ni prouvés. Constituent notamment des tels faits les inscriptions au Registre du commerce, accessibles au public par internet (art. 151 CPC; arrêt du Tribunal fédéral 4A_645/2011 du 27 janvier 2012 consid. 3.4.2).</w:t>
      </w:r>
    </w:p>
    <w:p>
      <w:r>
        <w:rPr>
          <w:b/>
        </w:rPr>
        <w:t>E. 3.2</w:t>
      </w:r>
    </w:p>
    <w:p>
      <w:r>
        <w:t>En l'occurrence, la pièce n° 17 produite par l'appelant est recevable, car elle est postérieure à la décision entreprise. De même, les pièces n° 18 produites par chacune des parties sont recevables, puisqu'il s'agit d'extraits du Registre du commerce, considérés comme notoire.</w:t>
      </w:r>
    </w:p>
    <w:p>
      <w:r>
        <w:t>- 8/14 -</w:t>
      </w:r>
    </w:p>
    <w:p>
      <w:r>
        <w:t>C/18539/2015-3 En revanche, l'ensemble des autres pièces déposées par l'intimée dans sa réponse à l'appel (ainsi que les faits qu'elles contiennent) sont antérieures à la décision querellée, de sorte qu'elles sont irrecevables, puisqu'elles auraient pu être produites en première instance, si ladite intimée avait fait preuve de la diligence requise.</w:t>
      </w:r>
    </w:p>
    <w:p>
      <w:r>
        <w:rPr>
          <w:b/>
        </w:rPr>
        <w:t>E. 4</w:t>
      </w:r>
    </w:p>
    <w:p>
      <w:r>
        <w:t>L'appelant reproche au Tribunal d'avoir fait droit à la requête de mesures provisionnelles de l'intimée en se fondant sur une constatation inexacte des faits et une violation du droit. 4.1.1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Il doit donc également rendre vraisemblable une atteinte au droit ou son imminence (BOHNET, op. cit., n° 10 ad art. 261). Est difficilement réparable le préjudice qui sera plus tard impossible ou difficile à mesurer ou à compenser entièrement. Entre notamment dans ce cas de figure la perte de clientèle (arrêt du Tribunal fédéral 4A_611/2011 du 3 janvier 2012 consid. 4.1; SPRECHER, in Commentaire bâlois, Schweizerische Zivilprozessordnung, 2ème éd., Bâle, 2013, n. 34 ad art. 261 CPC). Le préjudice difficilement réparable suppose l'urgence (BOHNET, op. cit., n° 12 ad art. 261; cf. également Message du Conseil fédéral du 28 juin 2006 relatif au code de procédure civile suisse, p. 6961), qui y est implicitement contenue (HUBER, Kommentar zur Schweizerischen Zivilprozessordnung [ZPO], SUTTER-SOMM et al., 3ème éd., 2016,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Alors même que les mesures provisionnelles sont subordonnées à l'urgence, le droit de les requérir ne se périme pas, mais la temporisation du requérant durant plusieurs mois à dater de la connaissance du dommage ou du</w:t>
      </w:r>
    </w:p>
    <w:p>
      <w:r>
        <w:t>- 9/14 -</w:t>
      </w:r>
    </w:p>
    <w:p>
      <w:r>
        <w:t>C/18539/2015-3 risque peut signifier qu'une protection n'est pas nécessaire, voire qu'elle peut constituer un abus de droit (arrêt du Tribunal fédéral 4P.263/2004 du 1er février 2005 consid. 2.1; 4P.224/1990 du 28 novembre 1990 consid. 4c inSJ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consid. 2.3; Fabienne HOHL, Procédure civile, Tome II, n° 2820; FAVRE/MUNOZ/TOBLER, Le contrat de travail, code annoté, 2ème éd. 2010, n. 3.4 ad art. 340b CO). Le Tribunal fédéral a retenu qu'il n'y avait pas à opposer les préjudices auxquels les parties étaient exposées pour décider s'il convenait d'interdire ou non la commercialisation d'un produit par voie de mesures provisionnelles (ATF 139 III 86 consid. 5). Cependant, dans une autre décision plus récente et faisant référence à cet ATF 139 III 86, le Tribunal fédéral a retenu que lorsqu'une autorité judiciaire se prononçait sur une mesure provisoire, elle avait l'obligation de peser les intérêts respectifs des parties (arrêt du Tribunal fédéral 2D_43/2015 du 10 décembre 2015 consid. 3.1). 4.2.1 L'art. 340b al. 3 CO prévoit que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Les exigences sont particulièrement strictes dans le cadre de mesures d'exécution anticipée du jugement. Ainsi, pour une requête tendant à interdire de manière anticipée à un travailleur de faire concurrence au sens de l'article 340b CO, le Tribunal fédéral considère que plus une mesure provisionnelle atteint de manière incisive la partie citée, plus il convient de fixer de hautes exigences pour faire reconnaître le bien-fondé de la demande quant à l'existence des faits pertinents et au fondement juridique de la prétention articulée.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ATF 131 III 473 consid. 2.3 et 3.2; arrêt du Tribunal fédéral 4A_611/2011 du 3 janvier 2012 consid. 4.1). Cette mesure d'interdiction est donc une ultima ratio et le juge n'y donnera suite que de manière très restrictive, vu les incidences économiques que présente l'interdiction d'exercer une profession pour un travailleur; dans le doute, la pesée des intérêts profitera au travailleur, ce dernier pouvant être exposé à subir un dommage irréparable en présence d'une interdiction de travailler. Dès lors, une exécution réelle doit être limitée aux violations crasses de la prohibition de</w:t>
      </w:r>
    </w:p>
    <w:p>
      <w:r>
        <w:t>- 10/14 -</w:t>
      </w:r>
    </w:p>
    <w:p>
      <w:r>
        <w:t>C/18539/2015-3 concurrence, lesquelles se confondent généralement de manière évidente avec un acte de concurrence déloyale (ATF 131 III 473 consid. 3.2; WYLER, Droit du travail, p. 613, MOESCH, La prohibition de concurrence, in Panorama en droit du travail, 2009, p. 343). 4.2.2 En outre, pour qu'une interdiction de concurrence soit prononcée par voie de mesures provisionnelles, un certain nombre de conditions formelles et matérielles doivent être réalisées. D'une part, l'employeur doit avoir respecté la forme écrite; l'employé doit comprendre, de manière claire et sans équivoque, que l'employeur pourra le contraindre à cesser son activité concurrente; d'autre part, la lésion ou la mise en danger des intérêts de celui-ci, ainsi que le comportement du travailleur, doivent justifier l'interdiction ou la suspension de l'activité concurrente. Ces deux dernières conditions matérielles sont cumulatives (ATF 131 III 473 consid. 3.2; BRUNNER/BÜHLER/WAEBER/BRUCHEZ, Commentaire du contrat de travail, 2004, p. 317; SUBILIA/DUC, Droit du travail, 2010, p. 727 no 11). La jurisprudence a en effet rappelé que la simple violation d'une clause de prohibition de concurrence n'est pas suffisante pour ouvrir la voie aux mesures provisionnelles de l'art. 340b al. 3 CO. La protection juridique provisoire ne doit être accordée que lorsque la demande apparaît fondée de manière relativement claire. En outre, l'employeur doit rendre vraisemblable que le dommage qu'il subit est considérable et difficilement réparable (ATF 133 III 473 consid. 3.2; 131 III 473 consid. 3.2). Il appartient enfin à l'autorité cantonale saisie d'une requête de mesures provisionnelles tendant à la cessation de l'activité prohibée de vérifier, même selon les règles de la procédure sommaire, la validité matérielle de la clause considérée (ATF 131 III 476 consid. 2.3).</w:t>
      </w:r>
    </w:p>
    <w:p>
      <w:r>
        <w:rPr>
          <w:b/>
        </w:rPr>
        <w:t>E. 4.3</w:t>
      </w:r>
    </w:p>
    <w:p>
      <w:r>
        <w:t>En l'espèce, il est constant que le contrat liant les parties prévoyait bien une clause de prohibition de concurrence et que l'employeur s'est réservé par écrit le droit d'obtenir la cessation de la contravention. L'intimée était ainsi fondée à faire valoir, par voie de mesures provisionnelles, la cessation du comportement de l'appelant, dans lequel elle voyait la violation de la clause précitée. Le fait qu'elle ait tardé à agir depuis la connaissance des agissements de l'appelant n'a pas entraîné la péremption de son droit d'agir par cette voie, ce d'autant plus qu'il ne semble pas impossible que l'appelant ait continué et continue à débaucher des clients de son ancien employeur avant l'issue de la période d'interdiction.</w:t>
      </w:r>
    </w:p>
    <w:p>
      <w:r>
        <w:rPr>
          <w:b/>
        </w:rPr>
        <w:t>E. 4.4</w:t>
      </w:r>
    </w:p>
    <w:p>
      <w:r>
        <w:t>Cela étant, au regard des principes exposés ci-dessus, la validité de la clause litigieuse devrait en principe être examinée prima facie sous l'angle de la vraisemblance.</w:t>
      </w:r>
    </w:p>
    <w:p>
      <w:r>
        <w:t>- 11/14 -</w:t>
      </w:r>
    </w:p>
    <w:p>
      <w:r>
        <w:t>C/18539/2015-3 Cependant, compte tenu des développements qui suivent, cette question peut demeurer indécise.</w:t>
      </w:r>
    </w:p>
    <w:p>
      <w:r>
        <w:rPr>
          <w:b/>
        </w:rPr>
        <w:t>E. 4.5</w:t>
      </w:r>
    </w:p>
    <w:p>
      <w:r>
        <w:t>L'appelant soutient que l'intimée ne peut pas se prévaloir de cette clause de non-concurrence, puisqu'il a résilié le contrat de travail les liant pour un motif justifié, à savoir le changement de son mode de rémunération, qu'il avait contesté auprès de son employeur.</w:t>
      </w:r>
    </w:p>
    <w:p>
      <w:r>
        <w:rPr>
          <w:b/>
        </w:rPr>
        <w:t>E. 4.5.1</w:t>
      </w:r>
    </w:p>
    <w:p>
      <w:r>
        <w:t>Une clause de prohibition de faire concurrence valablement conclue devient caduque si le travailleur résilie le contrat pour un motif justifié imputable à l'employeur (art. 340c al. 2 CO). Ne sont des motifs justifiés au sens de l'art. 340c al. 2 CO que les événements qui ont été causés par la partie adverse, ou à tout le moins dont elle doit répondre. La clause tombe ainsi lorsque, par exemple, la résiliation fait suite à une baisse de salaire importante par comparaison avec les habitudes du marché, à une surcharge de travail chronique malgré un avertissement, à des reproches continuels ou à un mauvais climat général (ATF 130 III 353 consid. 2.2.1; JdT 2005 I 12). Il appartient à l'employeur d'établir les circonstances particulières permettant d'admettre que le salarié a consenti tacitement à une réduction de son salaire (REHBINDER, Commentaire bernois, n. 19 ad art. 322 CO). Toutefois, si le travailleur a encaissé au moins trois fois de suite un salaire réduit par rapport à celui convenu initialement, cela sans formuler de réserve, il y a une présomption de fait qu'il a accepté la baisse de salaire en cause (REHBINDER, op. cit., n. 19 ad art. 322 CO; STAEHELIN, Commentaire zurichois, n. 22 ad art. 322 CO; DUC/SUBILIA, Commentaire du contrat individuel de travail, n. 11 ad art. 322 CO).</w:t>
      </w:r>
    </w:p>
    <w:p>
      <w:r>
        <w:rPr>
          <w:b/>
        </w:rPr>
        <w:t>E. 4.5.2</w:t>
      </w:r>
    </w:p>
    <w:p>
      <w:r>
        <w:t>En l'espèce, l'appelant a démontré, au vu du dossier, que son salaire fixe avait passé, à partir du mois de janvier 2014, de 10'000 fr. à 4'000 fr., commissions en sus, ce qui constituait une baisse de salaire importante. Sa démission a d'ailleurs été motivée par son opposition à ces nouvelles conditions salariales et par le refus de l'intimée de lui verser le solde des commissions réclamées par l'appelant pour l'année 2013. Il est vrai que ce n'est qu'au début de mai 2014, soit après avoir reçu sa nouvelle rémunération pendant quatre mois sans apparemment protester, qu'il a informé l'intimée par écrit de son opposition à ce nouveau mode de rémunération. Cependant, ainsi que cela résulte de son courrier du 8 mai 2014 à l'intimée, il apparaît que l'appelant avait déjà manifesté son désaccord au cours de divers entretiens préalables avec cette dernière. Par ailleurs, il avait aussi exprimé ce désaccord en refusant de signer le décompte annuel de son salaire 2013 établi par son ancien employeur le 25 février 2014, qui mentionnait déjà la nouvelle composition de cette rémunération.</w:t>
      </w:r>
    </w:p>
    <w:p>
      <w:r>
        <w:t>- 12/14 -</w:t>
      </w:r>
    </w:p>
    <w:p>
      <w:r>
        <w:t>C/18539/2015-3 Il ne peut donc être retenu que le recourant aurait accepté les nouvelles conditions salariales imposées par l'intimée. Cette dernière ayant ainsi décidé unilatéralement de modifier le fondement des conditions salariales de l'appelant initialement convenues, la démission de ce dernier a vraisemblablement été donnée pour un motif justifié découlant du comportement de son ancien employeur. Il en résulte, au regard des faits de la cause ainsi que des principes rappelés ci- dessus, qu'il paraît prima facie possible, contrairement à ce qu'a retenu le Tribunal, que la clause de non-concurrence prévue dans le contrat de travail ayant lié les parties ait été susceptible de cesser de déployer ses effets dès la résiliation de ce contrat par l'appelant. Sous cet angle, une éventuelle action au fond paraissant dénuée de chances de succès, il n'y a pas lieu de confirmer le prononcé par le premier juge des mesures provisionnelles requises par l'intimée.</w:t>
      </w:r>
    </w:p>
    <w:p>
      <w:r>
        <w:rPr>
          <w:b/>
        </w:rPr>
        <w:t>E. 4.6</w:t>
      </w:r>
    </w:p>
    <w:p>
      <w:r>
        <w:t>Cela étant, quand bien même l'on voudrait considérer que la clause de prohibition en cause n'a pas cessé de déployer ses effets lors de la résiliation des rapports contractuels entre les parties, les conditions du prononcé, en l'espèce, de mesures provisionnelles ne sont pas réalisées. En effet, l'intimée a déclaré avoir appris, par le biais du courriel d'une ancienne cliente du 3 novembre 2014, que les actes de démarchage de l'appelant avaient débuté en juillet 2014. Ce nonobstant, elle attendu le 10 septembre 2015, soit plus de 10 mois dès cette prise de connaissance, avant de requérir des mesures provisionnelles à l'encontre de l'appelant. Il y a donc lieu d'admettre comme vraisemblable que les actes de concurrence qu'elle reproche à l'appelant n'ont pas été de nature à lui causer un préjudice particulièrement important. En tout état, le fait qu'elle ait attendu si longtemps pour agir devant les juridictions prud'homales à partir de sa connaissance des agissements de son ancien employé tend à démontrer que la protection par voie de mesures provisionnelles qu'elle réclame n'est pas nécessaire. A l'inverse, interdire à l'appelant de travailler pour son actuel employeur porterait une atteinte grave à la situation dudit appelant en le privant de manière brutale et immédiate de ses moyens d'existence. Ainsi, outre le fait que l'action en exécution anticipée en matière d'interdiction de concurrence suppose la réalisation de conditions particulièrement restrictives, qui ne paraissent pas réalisées en l'espèce, la pesée des intérêts en présence commande également de rejeter les conclusions de l'intimée en prononcé de mesures provisionnelles à l'encontre de l'appelant.</w:t>
      </w:r>
    </w:p>
    <w:p>
      <w:r>
        <w:t>- 13/14 -</w:t>
      </w:r>
    </w:p>
    <w:p>
      <w:r>
        <w:t>C/18539/2015-3 A cet égard, il convient de relever que l'ATF 139 III 86 dont se prévaut l'intimée, est un arrêt isolé et qu'il résulte d'une décision plus récente du Tribunal fédéral qu'une pesée des intérêts en présence doit toujours être faite en vue d'une décision sur mesures provisionnelles.</w:t>
      </w:r>
    </w:p>
    <w:p>
      <w:r>
        <w:rPr>
          <w:b/>
        </w:rPr>
        <w:t>E. 4.7</w:t>
      </w:r>
    </w:p>
    <w:p>
      <w:r>
        <w:t>Il s'ensuit que le présent appel sera admis et que la décision entreprise sera annulée, l'intimée étant déboutée de l'ensemble de ses conclusions.</w:t>
      </w:r>
    </w:p>
    <w:p>
      <w:r>
        <w:rPr>
          <w:b/>
        </w:rPr>
        <w:t>E. 5</w:t>
      </w:r>
    </w:p>
    <w:p>
      <w:r>
        <w:t>Lorsque l'instance d'appel statue à nouveau, elle se prononce aussi sur les frais de première instance (art. 318 al. 3 CPC). Les frais seront en l'espèce arrêtés à 2'500 fr. au total, soit 1'500 fr. pour la première instance et 1'000 fr. en appel, ce dernier montant comprenant les frais relatif à la décision sur suspension de l'effet exécutoire attaché au jugement querellé (art. 69, 71, 26 et 37 RTFMC). Ces frais en 2'500 fr. devront être compensés avec les avances fournies par les parties, qui sont dès lors acquises à l'Etat de Genève. L'intimée, qui succombe, sera dès lors condamnée aux frais des deux instances, conformément à l'art. 106 al. 1 CPC et devra rembourser la somme de 1'000 fr. à ce titre à appelant. Il n'est pas alloué de dépens (art. 17 al. 2 LaCC). * * * * *</w:t>
      </w:r>
    </w:p>
    <w:p>
      <w:r>
        <w:t>- 14/14 -</w:t>
      </w:r>
    </w:p>
    <w:p>
      <w:r>
        <w:t>C/18539/2015-3 PAR CES MOTIFS, La Chambre des prud'hommes, groupe 3 : A la forme : Déclare recevable l'appel interjeté le 11 décembre 2015 par A______ contre la décision JTPH/523/2015 prononcée sur mesures provisionnelles le 25 novembre 2015 par le Tribunal des prud'hommes dans la cause C/18539/2015-3. Au fond : Annule la décision entreprise. Cela fait : Déboute B______ SA de toutes ses conclusions. Sur le frais : Arrête à 2'500 fr. les frais judiciaires de première et de seconde instance. Dit que ces frais sont compensés avec les avances effectuées par les parties, lesquelles restent acquises à l'Etat de Genève. Met l'ensemble de ces frais à la charge de B______ SA. La condamne en conséquence à rembourser à A______ la somme de 1'000 fr. à ce titre. Siégeant : Madame Valérie LAEMMEL-JUILLARD, présidente; Monsieur Guido AMBUHL, juge employeur, Madame Agnès MINDER-JAEGER, juge salariée; Madame Véronique BULUNDWE-LÉVY, greffière.</w:t>
      </w:r>
    </w:p>
    <w:p>
      <w:r>
        <w:t>La présidente : Valérie LAEMMEL-JUILLARD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