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A/9/2023 vom 16. Januar 2024</w:t>
      </w:r>
    </w:p>
    <w:p>
      <w:r>
        <w:t>GE Cour de justice, 2024-01-16, FR</w:t>
      </w:r>
    </w:p>
    <w:p>
      <w:r>
        <w:rPr>
          <w:b/>
        </w:rPr>
        <w:t xml:space="preserve">Quelle: </w:t>
      </w:r>
      <w:r>
        <w:t>https://mcp.opencaselaw.ch/entscheid/ge_gerichte_A_9_2023</w:t>
      </w:r>
    </w:p>
    <w:p>
      <w:r>
        <w:t>FR: GE_GERICHTE A/9/2023 du 16 janvier 2024</w:t>
      </w:r>
    </w:p>
    <w:p>
      <w:r>
        <w:t>IT: GE_GERICHTE A/9/2023 del 16 gennaio 2024</w:t>
      </w:r>
    </w:p>
    <w:p>
      <w:pPr>
        <w:pStyle w:val="Heading2"/>
      </w:pPr>
      <w:r>
        <w:t>Erwägungen</w:t>
      </w:r>
    </w:p>
    <w:p>
      <w:r>
        <w:rPr>
          <w:b/>
        </w:rPr>
        <w:t>E. 2</w:t>
      </w:r>
    </w:p>
    <w:p>
      <w:r>
        <w:t>Le recourant reproche à l’OCPM d’avoir retenu à tort que ses filles et lui-même ne remplissaient pas les conditions des raisons personnelles majeures et du cas individuel d’extrême gravité.![endif]&gt;![if&gt;</w:t>
      </w:r>
    </w:p>
    <w:p>
      <w:r>
        <w:rPr>
          <w:b/>
        </w:rPr>
        <w:t>E. 2.1</w:t>
      </w:r>
    </w:p>
    <w:p>
      <w:r>
        <w:t>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les critères d’intégration définis à l’art. 58a LEI sont remplis (let. a), ou lorsque la poursuite du séjour en Suisse s’impose pour des raisons personnelles majeures (let. b).![endif]&gt;![if&gt;</w:t>
      </w:r>
    </w:p>
    <w:p>
      <w:r>
        <w:rPr>
          <w:b/>
        </w:rPr>
        <w:t>E. 2.2</w:t>
      </w:r>
    </w:p>
    <w:p>
      <w:r>
        <w:t>Les raisons personnelles majeures visées à l'art. 50 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3.1).![endif]&gt;![if&gt;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arrêts du Tribunal fédéral 2C_12/2018 précité consid. 3.2 ; 2C_401/2018 du 17 septembre 2018 consid. 4.2).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w:t>
      </w:r>
    </w:p>
    <w:p>
      <w:r>
        <w:rPr>
          <w:b/>
        </w:rPr>
        <w:t>E. 2.3</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5.2).![endif]&gt;![if&gt;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mars 2023,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2.4</w:t>
      </w:r>
    </w:p>
    <w:p>
      <w:r>
        <w:t>Un étranger peut, exceptionnellement et à des conditions restrictives, déduire un droit à une autorisation de séjour, s'il existe un rapport de dépendance particulier entre lui et un proche parent, par exemple en raison d'une maladie ou d'un handicap, si le proche aidant ou le proche aidé est au bénéfice d'un droit de séjour en Suisse (ATF 144 II 1 consid. 6.1 ; 137 I 154 consid. 3.4.2 ; 129 II 11 consid. 2).![endif]&gt;![if&gt;</w:t>
      </w:r>
    </w:p>
    <w:p>
      <w:r>
        <w:rPr>
          <w:b/>
        </w:rPr>
        <w:t>E. 2.5</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 arrêts du Tribunal fédéral 2A.679/2006 du 9 février 2007 consid. 3 et 2A.43/2006 du 31 mai 2006 consid. 3.1 ; arrêt du Tribunal administratif fédéral C 3592/2010 du 8 octobre 2012 consid. 6.2 ; ATA/434/2020 du 31 avril 2020 consid. 10).</w:t>
      </w:r>
    </w:p>
    <w:p>
      <w:r>
        <w:rPr>
          <w:b/>
        </w:rPr>
        <w:t>E. 2.6</w:t>
      </w:r>
    </w:p>
    <w:p>
      <w:r>
        <w:t>En l’espèce, il est établi que le recourant a épousé E______ le 4 juin 2018, s’est séparé d’elle le 26 juin 2019 et a divorcé le 13 février 2020, de sorte que leur union a duré moins de trois ans, que le recourant ne peut prétendre à la prolongation de son autorisation de séjour en raison de son mariage et qu’il n’y a donc pas lieu d’examiner s’il est bien intégré sous l’angle de l’art. 50 al. 1 let. a LEI.![endif]&gt;![if&gt; Le recourant fait valoir que c’est son épouse qui a demandé le divorce, qu’il a dû se réfugier chez son père et qu’il était une victime de la situation. Bien qu’il n’y ait pas eu de violences physiques, il avait subi de la pression et de la violence psychologique de la part de son épouse. Ce faisant, il ne rend pas vraisemblable qu’il aurait subi des violences ou une maltraitance dont l’intensité, le caractère systématique ou la durée correspondraient aux exigences posées par la jurisprudence susmentionnée. Il expose encore que ses enfants auraient mal vécu son union avec son épouse. Outre que le ressenti de ses enfants ne saurait être constitutif de violence ou de maltraitance de la part de son épouse, le recourant a exposé s’être séparé de cette dernière le 26 juin 2019 alors que ses filles seraient arrivées en Suisse le 21 août 2019, si bien qu’elles n’ont en tout cas jamais cohabité avec elle. C’est ainsi de manière conforme au droit que l’OCPM puis le TAPI n’ont pas retenu un cas d’application de l’art. 50 al. 1 let. b LEI. Le recourant soutient qu’il est particulièrement bien intégré. Il perd de vue qu’il peut être attendu de tout candidat à la régularisation qu’il soit autonome financièrement, maîtrise le français au niveau requis, n’émarge pas à l’hospice et n’ait ni dettes ni poursuites ni casier judiciaire. Le recourant travaille dans le bâtiment. Il a noué à Genève les liens personnels et professionnels usuels résultant de l’immigration dans un pays. Son intégration socio-économique ne saurait dans ces circonstances être qualifiée d’exceptionnelle, au sens où l’exige la loi. Le recourant fait valoir qu’il apporte à son père une « aide nécessaire et essentielle ». Il n’établit toutefois un rapport de dépendance particulier entre lui et son père, étant observé que ce dernier vit avec son épouse et que les troubles de la santé dont il souffre font l’objet d’un suivi médical. Le recourant soutient qu’un retour en D______ serait contraire aux intérêts bien compris de ses filles et entraînerait pour elles un traumatisme grave. Celles-ci sont âgées de 11 et 15 ans. Elles sont arrivées en Suisse en août 2019 et y séjournent donc depuis environ quatre ans et demi. Auparavant, elles ont vécu en D______ toute leur enfance avec leur mère et leur père avant que celui-ci n’émigre vers la Suisse. Elles maîtrisent la langue et les codes culturels de leur pays d’origine. Elles sont scolarisées et obtiennent de bons résultats. Si l’aînée est entrée dans l’adolescence, tel n’est pas encore le cas de la cadette. Quoi qu’il en soit, la durée de leur séjour et leur intégration ne sont pas encore si importantes qu’il faudrait considérer qu’elles sont complètement assimilées et qu’un retour en D______ équivaudrait pour elles à un véritable déracinement qui ne pourrait leur être imposé. Il doit en outre être tenu compte de ce que leur mère, avec laquelle elles ont vécu jusqu’à leur arrivée en Suisse, est toujours en D______. Enfin, le recourant ne soutient pas que les troubles de la santé dont elles souffrent ne pourraient pas être soignés en D______. La réintégration des recourants en D______ n’apparaît pas fortement compromise. Le recourant, qui est encore relativement jeune et en bonne santé, pourra y faire valoir l’expérience professionnelle acquise en Suisse et ses filles les compétences acquises durant leurs années de scolarité à Genève. Les filles pourront y retrouver leur mère et les familles de leurs parents, sur lesquelles elles pourront compter. Le recourant soutient que ses filles et lui courraient le risque de se retrouver « à la rue » s’ils devaient retourner en D______. Il a toutefois indiqué dans une demande de visa pour un séjour du 10 au 22 août 2019 qu’il possédait en D______ une maison. Il ne peut être suivi lorsqu’il affirme qu’un retour en D______ entraînerait pour ses filles et lui une situation de « détresse intense ». Les difficultés propres à un retour au pays invoquées par la psychiatre des filles ne sauraient constituer un obstacle à leur réintégration. Il peut ainsi être attendu des recourants qu’ils se réintègrent dans leur pays d’origine. C’est donc conformément au droit que l’OCPM puis le TAPI ont retenu que les recourants ne se trouvaient pas dans un cas d'extrême gravité et ont refusé de leur délivrer des autorisations de séjour.</w:t>
      </w:r>
    </w:p>
    <w:p>
      <w:r>
        <w:rPr>
          <w:b/>
        </w:rPr>
        <w:t>E. 3</w:t>
      </w:r>
    </w:p>
    <w:p>
      <w:r>
        <w:t>Il convient encore d’examiner si le renvoi prononcé par l’OCPM est fondé.![endif]&gt;![if&gt;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3.2</w:t>
      </w:r>
    </w:p>
    <w:p>
      <w:r>
        <w:t>En l'espèce, dès lors qu'il a, à juste titre, refusé l’octroi d’une autorisation de séjour aux recourants, l'intimé devait prononcer leur renvoi. Il a été vu plus haut que le retour des recourants en D______ est exigible. Les recourants n’invoquent aucun élément permettant de retenir que leur renvoi ne serait pas possible, licite ou ne pourrait raisonnablement être exigé. De tels éléments ne ressortent pas non plus du dossier.![endif]&gt;![if&gt;</w:t>
      </w:r>
    </w:p>
    <w:p>
      <w:r>
        <w:rPr>
          <w:b/>
        </w:rPr>
        <w:t>E. 4</w:t>
      </w:r>
    </w:p>
    <w:p>
      <w:r>
        <w:t>Vu l'issue du recours, un émolument de CHF 400.- sera mis à la charge de A______ et aucune indemnité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