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A/9/2021 vom 5. Oktober 2023</w:t>
      </w:r>
    </w:p>
    <w:p>
      <w:r>
        <w:t>GE Cour de justice, 2023-10-05, FR</w:t>
      </w:r>
    </w:p>
    <w:p>
      <w:r>
        <w:rPr>
          <w:b/>
        </w:rPr>
        <w:t xml:space="preserve">Quelle: </w:t>
      </w:r>
      <w:r>
        <w:t>https://mcp.opencaselaw.ch/entscheid/ge_gerichte_A_9_2021</w:t>
      </w:r>
    </w:p>
    <w:p>
      <w:r>
        <w:t>FR: GE_GERICHTE A/9/2021 du 5 octobre 2023</w:t>
      </w:r>
    </w:p>
    <w:p>
      <w:r>
        <w:t>IT: GE_GERICHTE A/9/2021 del 5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Dans la mesure où le recours (du 3 janvier 2021) a été interjeté postérieurement au 1 er janvier 2021, il est soumis au nouveau droit (cf. art. 82 a LPGA a contrario ).![endif]&gt;![if&gt;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(du 3 décembre 2020) a été rendue antérieurement au 1 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19 février 2018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4.7     Dans l’affirmative, considérez-vous que cela suffise à exclure une atteinte à la santé significative ?![endif]&gt;![if&gt; 4.8     Quelles conclusions peut-on tirer des dosages sanguins et/ou urinaires des substances psychoactives concernant la consommation / l’abstinence de l’intéressé ? ![endif]&gt;![if&gt; 4.9     L’abstinence des différentes substances psychoactives utilisées est-elle exigible ? ![endif]&gt;![if&gt; 5. Limitations fonctionnelles</w:t>
      </w:r>
    </w:p>
    <w:p>
      <w:r>
        <w:rPr>
          <w:b/>
        </w:rPr>
        <w:t>E. 5</w:t>
      </w:r>
    </w:p>
    <w:p>
      <w:r>
        <w:t>Le délai de recours est de trente jours (art. 60 al. 1 LPGA ; art. 62 al. 1 let. a de la loi sur la procédure administrative du 12 septembre 1985 [LPA - E 5 10]). ![endif]&gt;![if&gt; Interjeté dans la forme (art. 61 let. b LPGA) et le délai prévus par la loi,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w:t>
      </w:r>
    </w:p>
    <w:p>
      <w:r>
        <w:t>Le litige porte sur le droit du recourant à une rente d'invalidité, singulièrement sur sa capacité de travail. ![endif]&gt;![if&gt;</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![endif]&gt;![if&gt;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8.3</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référence).![endif]&gt;![if&gt;</w:t>
      </w:r>
    </w:p>
    <w:p>
      <w:r>
        <w:rPr>
          <w:b/>
        </w:rPr>
        <w:t>E. 8.4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w:t>
      </w:r>
    </w:p>
    <w:p>
      <w:r>
        <w:rPr>
          <w:b/>
        </w:rPr>
        <w:t>E. 8.5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8.6</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8.6.1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8.6.2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w:t>
      </w:r>
    </w:p>
    <w:p>
      <w:r>
        <w:rPr>
          <w:b/>
        </w:rPr>
        <w:t>E. 8.6.3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8.6.4</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19 février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![endif]&gt;![if&gt;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l'avis du Dr D______ du 23 novembre 2018 ? En particulier avec les diagnostics posés (sur le plan psychique), les limitations fonctionnelles constatées et l'estimation de la capacité de travail ? Si non, pourquoi ?</w:t>
      </w:r>
    </w:p>
    <w:p>
      <w:r>
        <w:rPr>
          <w:b/>
        </w:rPr>
        <w:t>E. 11.1.1</w:t>
      </w:r>
    </w:p>
    <w:p>
      <w:r>
        <w:t>Sur le plan somatique, l'expert rhumatologue (le Dr K______), qui a étudié les pièces médicales du dossier, y compris les documents d'imagerie, tenu compte des plaintes du recourant et, procédé à l'examen clinique de celui-ci, a posé les diagnostics, avec effet sur la capacité de travail, de névralgie cervicobrachiale droite secondaire à une discopathie protrusive comprimant le nerf C7 droit, de lombosciatalgie droite secondaire à une discopathie protrusive lombaire, et de séquelles de rhabdomyolyse avec syndrome des loges du mollet gauche, et celui, sans effet sur la capacité de travail, de canal carpien bilatéral électromyographique. Sur cette base, l'expert a énuméré les limitations fonctionnelles à mettre objectivement en lien avec les atteintes constatées, soit le changement de position régulier, l'évitement des efforts de soulèvement à partir du sol de plus de 2 kg, le port de charges près du corps supérieures à 3 kg, le porte‑à‑faux et la rotation répétée du buste et du rachis cervical, et la limitation de la marche, du piétinement et de la montée et descente d'escaliers. Il a considéré que ces atteintes n'empêchent pas le recourant d'exercer toute activité respectant ces restrictions à plein temps, depuis février 2018. ![endif]&gt;![if&gt; Aucun rapport au dossier ne suscite de doute qui justifierait que l'on se distancie de cette appréciation. Dans son avis du 5 juillet 2021, le SMR, qui a examiné les pièces produites par le recourant le 11 juin 2021 (rapport du Dr L______, neurochirurgien, du 26 avril 2021, IRM de la colonne cervicale du 6 avril 2021, IRM de la colonne lombo-sacrée du 8 avril 2021, rapport de la Dre G______, neurologue, du 30 avril 2021), a estimé que ces documents ne faisaient pas état d'élément objectivement vérifiable qui aurait été ignoré par l'expert. Dans son écriture du 11 mars 2021, le Dr D______ se rallie à l'avis du SMR, tout en indiquant que la capacité de travail du recourant est nulle (alors que les Drs L______ et G______ ne se sont pas prononcés sur la capacité de travail du recourant). Or, l'appréciation différente de la capacité de travail de l'assuré ne suffit pas à elle seule pour remettre en cause les conclusions de l'expert.</w:t>
      </w:r>
    </w:p>
    <w:p>
      <w:r>
        <w:rPr>
          <w:b/>
        </w:rPr>
        <w:t>E. 11.1.2</w:t>
      </w:r>
    </w:p>
    <w:p>
      <w:r>
        <w:t>Sur le plan psychiatrique, l'expert (le Dr J______) a retenu, sans répercussion sur la capacité de travail, les diagnostics de trouble de la personnalité asociale (F 60.2), et de troubles mentaux et du comportement liés à l’utilisation de substances psychotiques multiples et troubles liés à l’utilisation d’autres substances actives, désormais abstinent sauf pour le cannabis (F19.20), et exclu celui de trouble dépressif, à défaut de signe clinique pendant l'examen (dossier intimé p. 231-233). ![endif]&gt;![if&gt; Les conclusions du Dr J______, insuffisamment motivées sur certains points particuliers, et empreintes de contradictions, ne sauraient, à ce stade, être suivies. En effet, l'expert n'a guère discuté les diagnostics retenus par ses confrères antérieurement. Dans un rapport du 13 mai 2019 (dossier intimé p. 172 ss), le Département de santé mentale et de psychiatrie des HUG avait pourtant diagnostiqué notamment un trouble dépressif récurrent moyen (F 33.1), et conclu à une capacité de travail nulle dans toute activité depuis février 2017 en raison des troubles de la concentration, d'une anhédonie, d'une aboulie et d'une vulnérabilité au stress importante. Or, il était indispensable que l'expert expose de manière circonstanciée les motifs qui justifiaient qu'il s'écarte de l'appréciation des médecins des HUG. D'autant plus qu'il avait pour mission d'évaluer la capacité de travail du recourant de manière rétrospective ‒ depuis février 2018 (dossier intimé p. 224) ‒ sur une période où celui-ci avait été examiné par les médecins des HUG, période au cours de laquelle le recourant pourrait éventuellement prétendre une rente d'invalidité (dès le 1 er avril 2019 au plus tôt, la demande de prestations ayant été déposée le 19 octobre 2018 [art. 29 al. 1 et 3 LAI]). C'est le lieu de rappeler que le fait d'écarter l'existence dans le passé de certaines atteintes en dépit des constatations faites à l'époque par les médecins doit être solidement motivée ( ATAS/64/2019 du 28 janvier 2019 consid. 6). Par ailleurs, l'expert mentionne qu'il n'y a pas eu de prise en charge psychiatrique (p. 233), alors que le recourant, qui prenait des antidépresseurs (p. 91, 98, 172, 178), a consulté un psychiatre en décembre 2017 (p. 91). Quant au fait que le recourant ne serait pas entièrement compliant au traitement médicamenteux selon l'expert (p. 230), le Dr D______, médecin traitant généraliste, relève que la faible dose s'explique, d'après lui, en raison d'un risque de syndrome de sérotoninergique (acte de recours). Ensuite, il paraît contradictoire d'admettre que le recourant ne présentait pas de troubles de la mémoire, au motif qu'il était capable de faire des calculs et de donner des dates précises (dossier intimé p. 230, 232), tout en relevant que celui‑ci avait indiqué lors de l'expertise avoir suivi un traitement par héroïne injectée aux HUG sans qu'il ne puisse cependant donner la date exacte (p. 229). De même, l'expert ne retient aucune atteinte à la santé incapacitante (p. 233), tout en posant le diagnostic d'un trouble de la personnalité asociale « [ayant] une incidence dans le sens d'un non-respect de normes et de contraintes de la vie professionnelle, mais pas sur la capacité de travail » (p. 225). Or, il est paradoxal de considérer le recourant à la fois entièrement apte au travail, et incapable de respecter les normes et contraintes de la vie professionnelle, soit notamment les règles de l'entreprise qui l'engagerait. On se demande en tous cas quel employeur prendrait le risque d'embaucher une personne présentant ce profil (si tant est que ce diagnostic soit confirmé ; les Drs D______, et M______, psychiatre traitant, le réfutent (cf. acte de recours et rapports des 4 juin 2021 et 25 novembre 2022). Qui plus est, lors de l'audience du 22 septembre 2022, l'expert a déclaré que la personnalité, qui se fixait à la fin de l'adolescence, perdurait jusqu'à la fin de la vie. Ni dans son rapport d'expertise, ni à l'occasion de cette audience, il n'a expliqué les raisons pour lesquelles il retenait les critères diagnostiques suivants d'un trouble de la personnalité asociale, se contentant d'indiquer qu'il s'était fondé sur l'entretien et l'anamnèse, sans que l'on ne puisse toutefois comprendre, à la lecture du rapport, en quoi ces critères seraient remplis. En effet, il expose que le recourant est incapable à maintenir durablement des relations (p. 231), alors que depuis 2016 il vit avec sa nouvelle épouse et son beau-fils qu'il considère comme son meilleur ami (p. 228). L'expert indique que le recourant est incapable à tirer un enseignement des expériences, notamment des sanctions, alors que le recourant, bien qu'il fût incarcéré un temps, a suivi un traitement thérapeutique pour se sevrer de la drogue (entre autres, cocaïne et héroïne ; p. 242), avec succès ; il est abstinent depuis septembre 2017 (p. 94, 97), sauf pour le cannabis qui a un effet bénéfique sur ses douleurs, ce qui a motivé une prescription à base de CBD à des fins médicales (p. 90). De surcroît, l'expert rapporte que le recourant, en dehors des périodes d'hospitalisation pour le sevrage, a toujours été capable de travailler (dossier intimé p. 233). Or, du 9 juillet 2012 au 6 juillet 2018, celui-ci a été placé par l'Hospice général dans une activité socio-éducative de 20 heures hebdomadaires au sein d'une association (p. 68, 81) ‒ et non pas à plein temps ‒, et, dans une fiche de bilan – activité de réinsertion du 14 juillet 2015, cette association a répondu par la négative à la question de savoir si le bénéficiaire (le recourant) était en mesure dans l'immédiat d'exercer une activité sur le marché de l'emploi, en invoquant la santé du recourant et la gestion de ses émotions (p. 150). Dans leur rapport précité du 13 mai 2019, les HUG évoquaient également une vulnérabilité au stress importante, et le recourant a été mis en arrêt de travail total depuis le 19 février 2018 (dossier intimé p. 18-21). Enfin, selon l'expert, une mesure de réadaptation professionnelle serait vouée à l'échec, mais il n'explique pas son point de vue (p. 232).</w:t>
      </w:r>
    </w:p>
    <w:p>
      <w:r>
        <w:rPr>
          <w:b/>
        </w:rPr>
        <w:t>E. 11.2</w:t>
      </w:r>
    </w:p>
    <w:p>
      <w:r>
        <w:t>Êtes-vous d’accord avec l’avis du Département de santé mentale et de psychiatrie des HUG du 13 mai 2019 ? En particulier avec les diagnostics posés, les limitations fonctionnelles constatées et l’estimation d’une capacité de travail de 0% ? Si non, pourquoi ?</w:t>
      </w:r>
    </w:p>
    <w:p>
      <w:r>
        <w:rPr>
          <w:b/>
        </w:rPr>
        <w:t>E. 11.3</w:t>
      </w:r>
    </w:p>
    <w:p>
      <w:r>
        <w:t>Êtes-vous d'accord avec l'avis du docteur J______ du 2 octobre 2020 et celui du 22 septembre 2022 ? En particulier avec les diagnostics posés, et l'estimation de la capacité de travail de 100%? Si non, pourquoi ?</w:t>
      </w:r>
    </w:p>
    <w:p>
      <w:r>
        <w:rPr>
          <w:b/>
        </w:rPr>
        <w:t>E. 11.4</w:t>
      </w:r>
    </w:p>
    <w:p>
      <w:r>
        <w:t>Êtes-vous d'accord avec l'avis du Dr M______ des 4 juin 2021 et 25 novembre 2022 ? En particulier avec les diagnostics posés, les limitations fonctionnelles constatées et l'estimation de la capacité de travail de 0%? Si non, pourquoi ?</w:t>
      </w:r>
    </w:p>
    <w:p>
      <w:r>
        <w:rPr>
          <w:b/>
        </w:rPr>
        <w:t>E. 11.5</w:t>
      </w:r>
    </w:p>
    <w:p>
      <w:r>
        <w:t>Êtes-vous d’accord avec l’avis de la Dre G______ du 19 mars 2019 ? En particulier avec les diagnostics posés ? Si non, pourquoi ?</w:t>
      </w:r>
    </w:p>
    <w:p>
      <w:r>
        <w:rPr>
          <w:b/>
        </w:rPr>
        <w:t>E. 11.6</w:t>
      </w:r>
    </w:p>
    <w:p>
      <w:r>
        <w:t>Êtes-vous d’accord avec ‘avis de M. N______, psychologue FSP, du 26 mai 2021 ? En particulier avec les diagnostics posés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Christine RAVIER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