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A/997/2022 vom 29. September 2023</w:t>
      </w:r>
    </w:p>
    <w:p>
      <w:r>
        <w:t>GE Cour de justice, 2023-09-29, FR</w:t>
      </w:r>
    </w:p>
    <w:p>
      <w:r>
        <w:rPr>
          <w:b/>
        </w:rPr>
        <w:t xml:space="preserve">Quelle: </w:t>
      </w:r>
      <w:r>
        <w:t>https://mcp.opencaselaw.ch/entscheid/ge_gerichte_A_997_2022</w:t>
      </w:r>
    </w:p>
    <w:p>
      <w:r>
        <w:t>FR: GE_GERICHTE A/997/2022 du 29 septembre 2023</w:t>
      </w:r>
    </w:p>
    <w:p>
      <w:r>
        <w:t>IT: GE_GERICHTE A/997/2022 del 29 settembre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LPGA).![endif]&gt;![if&gt;</w:t>
      </w:r>
    </w:p>
    <w:p>
      <w:r>
        <w:rPr>
          <w:b/>
        </w:rPr>
        <w:t>E. 3</w:t>
      </w:r>
    </w:p>
    <w:p>
      <w:r>
        <w:t>![endif]&gt;![if&gt;</w:t>
      </w:r>
    </w:p>
    <w:p>
      <w:r>
        <w:rPr>
          <w:b/>
        </w:rPr>
        <w:t>E. 3.1</w:t>
      </w:r>
    </w:p>
    <w:p>
      <w:r>
        <w:t>Selon l'art. 62 al. 1 let. a de la loi sur la procédure administrative du 12 septembre 1985 (LPA - E 5 10), le délai de recours est de trente jours. Il court dès le lendemain de la notification de la décision (art. 17 al. 1 et 62 al. 3 LPA).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 142 III 599 consid. 2.4.1 ; 122 I 139 consid. 1). À l'instar d'une boîte postale (ATF 142 V 389 consid. 2.2 ; arrêt 8C_696/2018 précité consid. 3.3 et les références), il y a lieu d'assimiler l'automate « MyPost 24 » à un bureau de poste suisse, à charge, le cas échéant, pour l'expéditeur de prouver que le délai a été observé (arrêt du Tribunal fédéral 5A_972/2018 du 5 février 2019 consid. 4.1). Le justiciable tenu de respecter un délai de recours doit prendre les précautions nécessaires dans l'éventualité d'une panne informatique, technique ou électrique des moyens qu’il utilise (arrêt du Tribunal fédéral 1C_811/2013 du 13 novembre 2013 consid. 1.3).</w:t>
      </w:r>
    </w:p>
    <w:p>
      <w:r>
        <w:rPr>
          <w:b/>
        </w:rPr>
        <w:t>E. 3.2</w:t>
      </w:r>
    </w:p>
    <w:p>
      <w:r>
        <w:t>En l’espèce, le pli contenant la décision de l’OCE a été notifié à la recourante le 24 février 2022. Le dernier jour du délai était ainsi le samedi 26 mars 2022, reporté au lundi 28 mars 2022. Partant, en déposant le recours dans l’automate le 28 mars 2022, et en recevant quittance de son envoi, la recourante pouvait raisonnablement partir du principe qu’il serait acheminé comme s’il avait été posté dans une boîte aux lettres ordinaire. Les documents qu’elle a joint à ses déterminations emportent la conviction, de sorte qu’il faut considérer que le recours a été déposé dans le délai de 30 jours à compter de la date de réception de la décision litigieuse. Le recours respectant également la forme prévue par la loi, il est recevable.</w:t>
      </w:r>
    </w:p>
    <w:p>
      <w:r>
        <w:rPr>
          <w:b/>
        </w:rPr>
        <w:t>E. 4</w:t>
      </w:r>
    </w:p>
    <w:p>
      <w:r>
        <w:t>Le litige porte sur le droit de la recourante à des indemnités RHT pour la période allant du 29 décembre 2021 au 18 janvier 2022.![endif]&gt;![if&gt;</w:t>
      </w:r>
    </w:p>
    <w:p>
      <w:r>
        <w:rPr>
          <w:b/>
        </w:rPr>
        <w:t>E. 5</w:t>
      </w:r>
    </w:p>
    <w:p>
      <w:r>
        <w:t>![endif]&gt;![if&gt;</w:t>
      </w:r>
    </w:p>
    <w:p>
      <w:r>
        <w:rPr>
          <w:b/>
        </w:rPr>
        <w:t>E. 5.1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COVID-19).![endif]&gt;![if&gt;</w:t>
      </w:r>
    </w:p>
    <w:p>
      <w:r>
        <w:rPr>
          <w:b/>
        </w:rPr>
        <w:t>E. 5.2</w:t>
      </w:r>
    </w:p>
    <w:p>
      <w:r>
        <w:t>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3a).![endif]&gt;![if&gt;</w:t>
      </w:r>
    </w:p>
    <w:p>
      <w:r>
        <w:rPr>
          <w:b/>
        </w:rPr>
        <w:t>E. 5.3</w:t>
      </w:r>
    </w:p>
    <w:p>
      <w:r>
        <w:t>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![endif]&gt;![if&gt;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w:t>
      </w:r>
    </w:p>
    <w:p>
      <w:r>
        <w:rPr>
          <w:b/>
        </w:rPr>
        <w:t>E. 5.4</w:t>
      </w:r>
    </w:p>
    <w:p>
      <w:r>
        <w:t>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SECO, état au 1er janvier 2021, C3 et C4).![endif]&gt;![if&gt;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w:t>
      </w:r>
    </w:p>
    <w:p>
      <w:r>
        <w:rPr>
          <w:b/>
        </w:rPr>
        <w:t>E. 5.5</w:t>
      </w:r>
    </w:p>
    <w:p>
      <w:r>
        <w:t>Selon la directive du SECO 2020/15 du 30 octobre 2020, sur l’actualisation « des règles spéciales dues à la pandémie », du fait de sa soudaineté, de son ampleur et de sa gravité, une pandémie n’est pas un risque normal d’exploitation à la charge de l’employeur, au sens de l’art. 33 al. 1 let. a LACI, même si dans certaines circonstances elle est susceptible de toucher tout employeur. Les pertes de travail résultant d’un recul de la demande de biens et de services pour ce motif peuvent dès lors être pris en considération en application de l’art. 32 al. 1 let. a LACI. Toutefois, l’employeur doit démontrer de manière crédible que les interruptions de travail attendues dans son entreprise sont attribuables à l’apparition de la pandémie. Il ne suffit pas simplement de mentionner la pandémie comme justification (ch. 2.2). ![endif]&gt;![if&gt; Selon le ch. 2.3, les mesures prises par les autorités en raison de la pandémie sont à considérer comme des circonstances extraordinaires, de sorte que les pertes de travail occasionnées par de telles mesures entrent dans le cadre de la réglementation spéciales des art. 32 al. 3 LACI et 51 OAI. Cela s’applique également aux mesures qui ne concernent que certaines branches ou secteurs économiques, ainsi qu’aux mesures ordonnées par les autorités cantonales ou communales. Les pertes de travail non imputables à l’employeur telles que par exemple celles qui sont dues à l’impossibilité pour les travailleurs de se rendre sur le lieu de travail peuvent être prises en considérations. Les pertes de travail qui résultent du comportement fautif de l’employeur ne sont en revanche pas prises en considération (art. 51 al. 3 OACI). Selon le ch. 2.5, dans le cadre du déconfinement progressif, la plupart du temps, la justification en raison des mesures prises par les autorités devient caduque. L’activité doit reprendre normalement dès que cela est possible. Cette condition est l’expression de l’obligation de diminuer le dommage. Lorsque l’entreprise ne peut remettre au travail qu’une partie de ses employés, en raisons des mesures sanitaires qui persistent, elle a droit à l’indemnité en cas de RHT pour la perte de travail des travailleurs partiellement ou totalement inoccupés si les autres conditions du droit sont réalisées. Dans ce cas, la perte de travail à prendre en considération reste consécutive aux mesures prises par les autorités et l’art. 32 al. 3 LACI en relation avec l’art. 51 OACI s’applique.</w:t>
      </w:r>
    </w:p>
    <w:p>
      <w:r>
        <w:rPr>
          <w:b/>
        </w:rPr>
        <w:t>E. 5.6</w:t>
      </w:r>
    </w:p>
    <w:p>
      <w:r>
        <w:t>![endif]&gt;![if&gt;</w:t>
      </w:r>
    </w:p>
    <w:p>
      <w:r>
        <w:rPr>
          <w:b/>
        </w:rPr>
        <w:t>E. 5.6.1</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du 28 septembre 2012 (loi sur les épidémies ; LEp - RS 818.101). Sur cette base, le Conseil fédéral a arrêté l’ordonnance sur les mesures destinées à lutter contre le coronavirus du 28 février 2020 (RS 818.101.24 ; RO 2020 573) puis l’ordonnance 2 sur les mesures destinées à lutter contre le coronavirus du 13 mars 2020 (Ordonnance 2 COVID-19 ; RS 818.101.24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783).![endif]&gt;![if&gt;</w:t>
      </w:r>
    </w:p>
    <w:p>
      <w:r>
        <w:rPr>
          <w:b/>
        </w:rPr>
        <w:t>E. 5.6.2</w:t>
      </w:r>
    </w:p>
    <w:p>
      <w:r>
        <w:t>Le Conseil fédéral a adapté son ordonnance sur les mesures destinées à lutter contre l’épidémie de COVID-19 en situation particulière (Ordonnance COVID-19 situation particulière) à plusieurs reprises par la suite. ![endif]&gt;![if&gt; Dans son ordonnance adaptée le 17 décembre 2021, soit celle utile à la résolution du présent litige, le Conseil fédéral a ordonné, à l’art. 12 al. 1, que les établissements de restauration, les bars et les boîtes de nuit dans lesquels la consommation a lieu sur place sont soumis aux règles suivantes: a. les exploitants doivent limiter l’accès à l’intérieur aux personnes disposant d’un certificat de vaccination ou de guérison; ils doivent veiller à garantir une aération efficace des locaux; les clients ont l’obligation de s’asseoir, sauf si l’accès est limité aux seules personnes disposant à la fois d’un certificat de vaccination ou de guérison et d’un certificat de test; b. les exploitants peuvent limiter l’accès à l’extérieur aux personnes disposant d’un certificat de vaccination, de guérison ou de test ou imposer des restrictions d’accès plus strictes; si un exploitant ne prévoit pas de limiter l’accès à l’extérieur, la distance requise entre les groupes doit être respectée ou des séparations efficaces doivent être installées; c. si l’espace extérieur d’un établissement de restauration, d’un bar ou d’une boîte de nuit se trouve sur le site d’une manifestation à laquelle l’accès est limité, cette restriction d’accès s’applique aussi à l’espace extérieur de l’établissement de restauration, du bar ou de la boîte de nuit. Selon son art. 13 al. 1, les discothèques et les salles de danse doivent limiter l’accès aux personnes disposant à la fois d’un certificat de vaccination ou de guérison et d’un certificat de test. Elles doivent en outre collecter les coordonnées des clients. Les jeunes de moins de 16 ans ne sont pas concernés par cette mesure et les personnes dont la vaccination, la vaccination de rappel ou la guérison date de moins de 4 mois sont exemptés de l’obligation de se faire dépister.</w:t>
      </w:r>
    </w:p>
    <w:p>
      <w:r>
        <w:rPr>
          <w:b/>
        </w:rPr>
        <w:t>E. 5.6.3</w:t>
      </w:r>
    </w:p>
    <w:p>
      <w:r>
        <w:t>Sur le plan cantonal, le Conseil d’État a adopté, le 1 er novembre 2020, l’arrêté d’application de l’ordonnance COVID-19 situation particulière et sur les mesures de protection de la population (ci-après : l’arrêté COVID-19), publié dans la Feuille d’avis officielle de la République et canton de Genève (ci-après FAO) du 2 novembre 2020, qui, à son art. 11 al. 1 let. d, ordonnait la fermeture des installations et établissements offrant des consommations, notamment bars, cafés-restaurants, cafeterias, buvettes et établissements assimilés ouverts au public. Selon l’al. 2 de cette disposition, faisaient exception à l’obligation de fermeture résultant de l’al. 1 les magasins d’alimentation et autres points de vente et étals de marchés qui vendaient des denrées alimentaires ou des biens de consommation courante. Cet arrêté est entré en vigueur le 2 novembre 2020. ![endif]&gt;![if&gt; Dès le 18 novembre 2020, les établissements de remise en forme et de bien-être ont été fermés (art. 11 al. 1 de l’arrêté du 18 novembre 2020 du Conseil d’État modifiant l’arrêté précité) et les personnes exerçant un service impliquant un contact physique avec la clientèle ont dû mettre en œuvre les mesures de protection (art. 14 de la version consolidée, état au 21 novembre 2020, de l’arrêté d’application de l’ordonnance fédérale sur les mesures destinées à lutter contre l’épidémie de COVID-19 en situation particulière du 19 juin 2020 et sur les mesures de protections de la population), soit recevoir les clients ou les patients uniquement sur rendez-vous, éviter un contact entre ceux-ci et prévoir une distance d’au moins 1 m 50 entre eux (selon l’annexe 1). Le 7 décembre 2020, publié dans la FAO du même jour, le Conseil d’État a abrogé l’art. 11 al. 1 let. d de l’arrêté COVID-19 avec effet au 10 décembre 2020 (art. 2 al. 2 de l’arrêté du Conseil d’État du 7 décembre 2020).</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319 consid. 5a).![endif]&gt;![if&gt;</w:t>
      </w:r>
    </w:p>
    <w:p>
      <w:r>
        <w:rPr>
          <w:b/>
        </w:rPr>
        <w:t>E. 7</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 427/2010 du 25 août 2010 consid. 5.1 ; arrêt du 29 juillet 2013 8C 591/2012).</w:t>
      </w:r>
    </w:p>
    <w:p>
      <w:r>
        <w:rPr>
          <w:b/>
        </w:rPr>
        <w:t>E. 8</w:t>
      </w:r>
    </w:p>
    <w:p>
      <w:r>
        <w:t>En l’espèce, la recourante soutient avoir été contrainte de fermer son établissement pour la période du 20 décembre 2021 au 18 janvier 2022, à la suite des mesures prises par le Conseil fédéral le 17 décembre 2021 et demande à pouvoir bénéficier de l’indemnité RHT pour cette période. ![endif]&gt;![if&gt; Elle fait valoir une perte de travail inévitable du fait de l’introduction de la règle de la 2G+, qui limitait la fréquentation de son établissement aux personnes pouvant présenter un certificat de vaccination ou de guérison et un test négatif, cette perte de travail s’étant avérée pour plusieurs établissements qui étaient restés ouverts durant la période concernée. Les mesures prises par le Conseil fédéral à compter du 20 décembre 2020 ne contraignaient certes pas la recourante à fermer son établissement mais étaient de nature à dissuader les clients de fréquenter les établissements, tels celui qu’elle exploite. Si la recourante n’a pas produit de carnet de réservation/annulation pour la période concernée, ni les résultats financiers de cette période et leur pendant pour les deux années précédentes permettant de constater les coûts fixes et variables et les recettes engendrées, comme requis par la chambre de céans, elle a produit avec sa demande un document indiquant les chiffres d’affaires pour les années 2019, 2021 et 2021 qui fait état d’un chiffre d’affaires de CHF 16'211.07 pour le mois de décembre 2020, contre CHF 48'385.10 pour le même mois de l’année précédente et CHF 26'629.10 l’année suivante, et CHF 256.27 pour le mois de janvier 2021 contre CHF 22'617.- pour janvier 2019 et CHF 39'084.90 pour janvier 2020. Néanmoins, ces éléments ne sont pas suffisants pour étayer sa position. Ce seul document ne constitue en effet pas une pièce comptable. Il appartenait à la recourante, qui y avait été dûment invitée, dans un délai qui avait été prolongé pour ce faire, de produire les pièces de la comptabilité, qu’elle a l’obligation de tenir, permettant de constater tant une baisse de son chiffre d’affaires que le fait que les coûts en cas d’ouverture de l’établissement auraient été substantiellement plus élevés qu’en cas de fermeture. A cela s’ajoute qu’elle ne documente pas non plus avoir procédé à des adaptations de ses activités et au sein de son personnel, afin de réduire son dommage. Elle n’a ainsi pas diminué son effectif depuis le début de la pandémie et elle ne démontre pas avoir pris de mesures en lien avec les services qu’elle offre, susceptibles d’éviter les pertes et sauvegarder les emplois. Il ne saurait donc être retenu qu’elle aurait pris les mesures adéquates pour éviter au maximum le recours à l’assurance chômage. Dans ces circonstances, force est de constater que la recourante n’a ni démontré avoir subi une perte de travail pour la période pour laquelle elle prétend à l’octroi d’une indemnité RHT, ni qu’elle a respecté son obligation de réduire son dommage. C’est donc à raison que l’intimé lui a refusé l’indemnité RHT. Au vu de ce qui précède, le recours sera rejeté et la décision attaquée confirmée.</w:t>
      </w:r>
    </w:p>
    <w:p>
      <w:r>
        <w:rPr>
          <w:b/>
        </w:rPr>
        <w:t>E. 9</w:t>
      </w:r>
    </w:p>
    <w:p>
      <w:r>
        <w:t>Pour le surplus, la procédure est gratuite (art. 61 let. fbis LPGA en lien avec l'art. 1 al. 1 LACI).![endif]&gt;![if&gt;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