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A/997/2011 vom 7. Dezember 2011</w:t>
      </w:r>
    </w:p>
    <w:p>
      <w:r>
        <w:t>GE Cour de justice, 2011-12-07, FR</w:t>
      </w:r>
    </w:p>
    <w:p>
      <w:r>
        <w:rPr>
          <w:b/>
        </w:rPr>
        <w:t xml:space="preserve">Quelle: </w:t>
      </w:r>
      <w:r>
        <w:t>https://mcp.opencaselaw.ch/entscheid/ge_gerichte_A_997_2011</w:t>
      </w:r>
    </w:p>
    <w:p>
      <w:r>
        <w:t>FR: GE_GERICHTE A/997/2011 du 7 décembre 2011</w:t>
      </w:r>
    </w:p>
    <w:p>
      <w:r>
        <w:t>IT: GE_GERICHTE A/997/2011 del 7 dicembre 2011</w:t>
      </w:r>
    </w:p>
    <w:p>
      <w:pPr>
        <w:pStyle w:val="Heading2"/>
      </w:pPr>
      <w:r>
        <w:t>Erwägungen</w:t>
      </w:r>
    </w:p>
    <w:p>
      <w:r>
        <w:rPr>
          <w:b/>
        </w:rPr>
        <w:t>E. 5</w:t>
      </w:r>
    </w:p>
    <w:p>
      <w:r>
        <w:t>ème Chambre En la cause Monsieur F__________, domicilié à Wettingen (AG) Madame F__________, domiciliée c/o G__________; à Vigneux-sur-Seine, FRANCE demandeurs contre FONDATION DE LIBRE PASSAGE DU 2 ème PILIER DU CREDIT SUISSE, case postale 4700, 8401 Winterthur FONDATION DE LIBRE PASSAGE RAIFFEISEN, Raiffeisenplatz, 9001 St.-Gall FONDATION INSTITUTION SUPPLETIVE LPP, Administration des comptes de libre passage, case postale 8468, 8036 Zürich défenderesses EN FAIT Par jugement du 28 janvier 2010, la 9ème chambre du Tribunal de première instance a prononcé le divorce de Madame F__________ , née en 1972, et Monsieur F__________, né en 1957, mariés en date du 19 février 2000. Selon le chiffre 9 du jugement précité, le Tribunal de première instance a ordonné le partage par moitié des avoirs de prévoyance professionnelle acquis par chacun des époux durant le mariage. Le jugement de divorce est devenu définitif le 5 mars 2010, quant au principe du divorce et au partage des avoirs de prévoyance professionnelle, et a été transmis d'office à la Cour de céans le 7 avril 2011 pour exécution du partage. Selon le courrier de la FONDATION DE LIBRE PASSAGE DU 2 eme PILIER DU CREDIT SUISSE du 16 mai 2011, la demanderesse a accumulé durant le mariage une prestation de libre passage de 3'358 fr. 63. Le 30 mai 2011, la CAISSE DE PREVOYANCE DU PERSONNEL DES ETABLISSEMENTS PUBLICS MEDICAUX DU CANTON DE GENEVE (CEH) a informé la Cour de céans que la demanderesse avait acquis une prestation de sortie au moment du divorce de 2'842 fr. 70. La totalité de l’avoir de vieillesse a été transférée à la FONDATION DE LIBRE PASSAGE DU 2 ème PILIER DU CREDIT SUISSE. Aux termes du courrier du 22 octobre 2011 de la FONDATION DE LIBRE PASSAGE RAIFFEISEN, le demandeur bénéficie d’une prestation de libre passage, acquise durant le mariage, de 2'871 fr. 80 auprès cette fondation. Selon les courriers des 23 septembre et 3 octobre 2011 de FUNDAMENTA, il a également accumulé durant le mariage un avoir de vieillesse de 139 fr. 40 qui a été transféré à la FONDATION INSTITUTION SUPPLETIVE LPP en date du 22 juillet 2011. Le 7 novembre 2011, la Cour de céans a informé les demandeurs sur quelle base elle procédera au partage des prestations de sortie accumulées durant le mariage.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19 février 2000, d’autre part le 5 mars 2010, date à laquelle le jugement de divorce est devenu exécutoire. Selon les renseignements recueillis, la prestation acquise pendant le mariage par le demandeur est de 3'011 fr. 20 (2'871 fr. 80 + 139 fr. 40) tandis que celle acquise par la demanderesse est de 6'201 fr. 30 (3'358 fr. 63 + 2'842 fr. 70), les intérêts ayant déjà été calculés par les institutions de prévoyance défenderesses. Ainsi le demandeur doit à son ex-épouse le montant de 1'505 fr. 60 (3'011 fr. 20 : 2) et celle-ci lui doit la somme de 3'100 fr. 65 (6'201 fr. 30 : 2), de sorte que c’est la demanderesse qui doit à son ex-époux le montant de 1'595 fr. 05.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DU 2 ème PILIER DU CREDIT SUISSE à transférer du compte de Madame F__________, compte de libre passage , la somme de 1'595 fr. 05 à la FONDATION DE LIBRE PASSAGE RAIFFEISEN en faveur de Monsieur F__________, compte de libre passage ainsi que des intérêts compensatoires au sens des considérants, dès le 5 mars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