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A/995/2004 vom 14. Januar 2004</w:t>
      </w:r>
    </w:p>
    <w:p>
      <w:r>
        <w:t>GE Cour de justice, 2004-01-14, FR</w:t>
      </w:r>
    </w:p>
    <w:p>
      <w:r>
        <w:rPr>
          <w:b/>
        </w:rPr>
        <w:t xml:space="preserve">Quelle: </w:t>
      </w:r>
      <w:r>
        <w:t>https://mcp.opencaselaw.ch/entscheid/ge_gerichte_A_995_2004</w:t>
      </w:r>
    </w:p>
    <w:p>
      <w:r>
        <w:t>FR: GE_GERICHTE A/995/2004 du 14 janvier 2004</w:t>
      </w:r>
    </w:p>
    <w:p>
      <w:r>
        <w:t>IT: GE_GERICHTE A/995/2004 del 14 gennaio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07.09.2004 A/995/2004</w:t>
      </w:r>
    </w:p>
    <w:p>
      <w:r>
        <w:t>A/995/2004 ATAS/700/2004 du 07.09.2004 ( AI ) , RETIRE RÉPUBLIQUE ET CANTON DE GENÈVE POUVOIR JUDICIAIRE A/995/04/2/AI ATAS/700/2004 ARRÊT DU TRIBUNAL CANTONAL DES ASSURANCES SOCIALES du 7 septembre 2004 2ème Chambre En la cause Monsieur L__________, mais comparant avec élection de domicile par le FORUM SANTE Recourant contre OFFICE CANTONAL DE L’ASSURANCE-INVALIDITE, 97, rue de Lyon à Genève Intimé Attendu que par décision du 14 janvier 2004, confirmée par décision sur opposition du 22 avril 2004, l’ OFFICE CANTONAL DE L’ASSURANCE-INVALIDITE (ci-après OCAI) a rejeté la demande de rente d’invalidité formée par Monsieur L__________ (ci-après le recourant) ; Que le recourant a contesté cette décision par acte du 10 mai 2004; Que par ordonnance du 14 juin 2004 le Tribunal de céans a ordonné l’audition du Dr A__________, rhumatologue, ainsi que l’audition des parties, qui ont eu lieu en date du 24 août 2004 ; Que suite à l’audition du praticien, le recourant a demandé un délai pour se déterminer sur le maintien ou le retrait de son recours, délai fixé au 15 septembre 2004; Que le recourant a déclaré, par courrier du 26 août 2004, retirer son recours ; Considérant en droit que le recours a été retiré ; Qu'il convient d'en prendre acte et de rayer la cause du rôle. *** PAR CES MOTIFS, LE TRIBUNAL CANTONAL DES ASSURANCES SOCIALES : Statuant (conformément à la disposition transitoire de l’art. 162 LOJ) Prend acte du retrait du recours. Raye la cause du rôle. Dit que la procédure est gratuite. Le greffier : La Présidente : Pierre Ries Isabelle Dubois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