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A/992/2008 vom 6. Februar 2008</w:t>
      </w:r>
    </w:p>
    <w:p>
      <w:r>
        <w:t>GE Cour de justice, 2008-02-06, FR</w:t>
      </w:r>
    </w:p>
    <w:p>
      <w:r>
        <w:rPr>
          <w:b/>
        </w:rPr>
        <w:t xml:space="preserve">Quelle: </w:t>
      </w:r>
      <w:r>
        <w:t>https://mcp.opencaselaw.ch/entscheid/ge_gerichte_A_992_2008</w:t>
      </w:r>
    </w:p>
    <w:p>
      <w:r>
        <w:t>FR: GE_GERICHTE A/992/2008 du 6 février 2008</w:t>
      </w:r>
    </w:p>
    <w:p>
      <w:r>
        <w:t>IT: GE_GERICHTE A/992/2008 del 6 febbraio 2008</w:t>
      </w:r>
    </w:p>
    <w:p>
      <w:pPr>
        <w:pStyle w:val="Heading2"/>
      </w:pPr>
      <w:r>
        <w:t>Erwägungen</w:t>
      </w:r>
    </w:p>
    <w:p>
      <w:r>
        <w:rPr>
          <w:b/>
        </w:rPr>
        <w:t>E. 7</w:t>
      </w:r>
    </w:p>
    <w:p>
      <w:r>
        <w:t>Une audience de comparution personnelle s’est tenue en date du 6 novembre 2008. A cette occasion, le demandeur a expliqué que sa nouvelle demande de prestations déposée auprès de l’Office cantonal de l’assurance-invalidité avait été rejetée. Il a précisé qu’il bénéficiait en revanche d’une rente de l’assurance-accidents correspondant à un degré d’invalidité de 26%. Il a produit un certain nombre de documents, mais expliqué qu’il ne se souvenait pas de tous les employeurs chez qui il était passé.</w:t>
      </w:r>
    </w:p>
    <w:p>
      <w:r>
        <w:rPr>
          <w:b/>
        </w:rPr>
        <w:t>E. 8</w:t>
      </w:r>
    </w:p>
    <w:p>
      <w:r>
        <w:t>Les documents recueillis lors de l’instruction ont été transmis aux parties en date du 24 février 2009. La juridiction leur a indiqué qu'à défaut d'observations de leur part dans le délai imparti, un arrêt serait rendu sur cette base.</w:t>
      </w:r>
    </w:p>
    <w:p>
      <w:r>
        <w:rPr>
          <w:b/>
        </w:rPr>
        <w:t>E. 9</w:t>
      </w:r>
    </w:p>
    <w:p>
      <w:r>
        <w:t>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26 janvier 1990, date du mariage, d’autre part le 13 mars 2008, date à laquelle le jugement de divorce est devenu exécutoire. Cependant, le demandeur ayant été bénéficiaire de prestations de l’assurance-invalidité et de l’assurance-accidents, la question se pose de savoir si le partage ordonné peut être exécuté.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En l’espèce, le demandeur a certes été au bénéfice d’une rente de l’assurance-invalidité pour un laps de temps limité et bénéficie toujours d’une rente de l’assurance-accidents. Cependant, dans la mesure où aucune rente d’invalidité ne lui a en revanche été versée par une institution de prévoyance professionnelle, le partage des avoirs tel que l’a décidé le juge civil reste techniquement possible. Selon les documents produits, la prestation acquise pendant le mariage par le demandeur s'élève à 88'635 fr. tandis que celle acquise par la demanderesse atteint la somme de 33'329 fr. 90, les intérêts ayant déjà été calculés par les institutions de prévoyance défenderesses. Ainsi le demandeur doit à son ex-épouse le montant de 44'317 fr. 50 (88'635 : 2) alors qu'elle lui doit celui de 16'664 fr. 95 (33'329.90 : 2), de sorte que c’est en définitive le demandeur qui doit à son ex-épouse le montant de 27'652 fr. 55 (44'317.50 - 16'664.95).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