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A/983/2022 vom 2. Mai 2023</w:t>
      </w:r>
    </w:p>
    <w:p>
      <w:r>
        <w:t>GE Cour de justice, 2023-05-02, FR</w:t>
      </w:r>
    </w:p>
    <w:p>
      <w:r>
        <w:rPr>
          <w:b/>
        </w:rPr>
        <w:t xml:space="preserve">Quelle: </w:t>
      </w:r>
      <w:r>
        <w:t>https://mcp.opencaselaw.ch/entscheid/ge_gerichte_A_983_2022</w:t>
      </w:r>
    </w:p>
    <w:p>
      <w:r>
        <w:t>FR: GE_GERICHTE A/983/2022 du 2 mai 2023</w:t>
      </w:r>
    </w:p>
    <w:p>
      <w:r>
        <w:t>IT: GE_GERICHTE A/983/2022 del 2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le refus de l’OCPM de préaviser favorablement auprès du SEM l’autorisation de séjour du recourant.![endif]&gt;![if&gt;</w:t>
      </w:r>
    </w:p>
    <w:p>
      <w:r>
        <w:rPr>
          <w:b/>
        </w:rPr>
        <w:t>E. 2.1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 er janvier 2019 sont régies par l’ancien droit.![endif]&gt;![if&gt; L'art. 30 al. 1 let. b LEI permet de déroger aux conditions d'admission en Suisse, telles que prévues aux art. 18 à 29 LEI, notamment aux fins de tenir compte des cas individuels d'une extrême gravité ou d'intérêts publics majeurs.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Tribunal administratif fédéral [ci-après : TAF] C-2712/2012 du 9 juillet 2014 consid. 5.7 ; C-3216/2010 du 29 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5.4 ; arrêts du TAF F-4125/2016 du 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w:t>
      </w:r>
    </w:p>
    <w:p>
      <w:r>
        <w:rPr>
          <w:b/>
        </w:rPr>
        <w:t>E. 2.3</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Ces conditions devaient être remplies au moment du dépôt de la demande d’autorisation de séjour ( ATA/121/2021 du 2 février 2021 consid. 8b).</w:t>
      </w:r>
    </w:p>
    <w:p>
      <w:r>
        <w:rPr>
          <w:b/>
        </w:rPr>
        <w:t>E. 2.4</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2.5</w:t>
      </w:r>
    </w:p>
    <w:p>
      <w:r>
        <w:t>Devant la chambre de céans, le recourant fait valoir qu’il remplit tous les critères pour l’octroi d’un permis de séjour dans le cadre de l’« opération Papyrus » : il a un emploi, est indépendant financièrement, n’a pas de dettes, a séjourné à Genève de manière continue depuis quinze ans et fait preuve d’une intégration réussie.![endif]&gt;![if&gt; S’agissant d’abord de la durée de son séjour en Suisse, il n’est pas possible, sur la base des pièces dossier, de retenir que le recourant remplissait la condition du séjour ininterrompu de dix ans requise au moment du dépôt de sa demande, le 6 juin 2018. Dans son formulaire M, l’intéressé a indiqué qu’il était arrivé en Suisse le 13 mars 2007. Or, aucune pièce au dossier ne permet d’étayer un séjour continu en Suisse depuis cette date. L’extrait de son compte individuel atteste d’un bref emploi en novembre 2008. Il n’y figure aucune activité lucrative en 2009 et 2010. L’intéressé a certes produit des fiches de salaire pour les mois de février 2009, juillet 2010 et janvier et février 2014, mais l’enquête menée par le MP a permis d’établir que ces documents étaient falsifiés. Selon les déclarations du recourant devant la police, il travaillait à plein temps en qualité de plâtrier-peintre depuis 2007 et recevait son salaire en mains propres. Son employeur n’avait toutefois pas établi de fiches de salaire. Faute de pièces justificatives, il n’est toutefois pas possible de suivre ses déclarations sur ce point. La seule attestation de l’opérateur de téléphonie mobile Swisscom indiquant un numéro actif depuis mai 2007 ne suffit pas pour démontrer un séjour continu en Suisse depuis 2007. Quoi qu’il en soit, même à retenir un séjour continu de dix ans en Suisse, exigé dans le cadre de l’« opération Papyrus », le recourant ne remplit pas la condition de l’absence de condamnation pénale (autre que séjour illégal). En effet, par ordonnance pénale du 4 juillet 2019, il a été déclaré coupable de lésions corporelles par négligence, d’entrave aux mesures de constatation de l’incapacité de conduire et de violation des obligations en cas d’accident, en sus de sa condamnation pour faux dans les titres. Il résulte des éléments qui précèdent que le recourant ne remplit pas les conditions d’octroi d’une autorisation de séjour sous l’angle de l’« opération Papyrus ».</w:t>
      </w:r>
    </w:p>
    <w:p>
      <w:r>
        <w:rPr>
          <w:b/>
        </w:rPr>
        <w:t>E. 2.6</w:t>
      </w:r>
    </w:p>
    <w:p>
      <w:r>
        <w:t>C’est également à juste titre que l’OCPM puis le TAPI ont retenu que le recourant ne remplissait pas les conditions du cas de rigueur. Outre que la durée de son séjour doit être relativisée, dès lors qu’il s’est déroulé dans l’illégalité, le recourant, qui a travaillé dans le domaine de la construction, n’établit pas qu’il aurait réalisé une intégration professionnelle exceptionnelle. Il a certes travaillé, n’a pas recouru à l’aide sociale et n’a pas fait l’objet de dettes. Il ne soutient toutefois pas avoir acquis en Suisse des connaissances si spécifiques qu’il ne pourrait les mettre en œuvre ailleurs. Il n’établit pas non plus s’être investi dans la vie associative, culturelle ou sportive de la Suisse. Enfin, il a fait l’objet de deux condamnations pénales, l’une pour lésions corporelles par négligence et violation des obligations en cas d’accident, et l’autre pour avoir cherché à tromper l’OCPM. Ces éléments trahissent un mépris certain pour l’ordre juridique suisse qui exclut à lui seul une intégration, a fortiori exceptionnelle, et partant la réalisation d’un cas de rigueur.![endif]&gt;![if&gt; Quant à sa situation médicale, le recourant ne soutient plus devant la chambre de céans qu’elle serait un obstacle à sa réintégration dans son pays d’origine. Les pièces médicales versées au dossier ne permettent en tous les cas pas de justifier, à elles seules, la reconnaissance d’un cas de rigueur. Outre que les attestations produites remontent à 2018, soit à près de cinq ans, les problèmes médicaux décrits par les médecins au niveau de la clavicule, de l’épaule et du bras droit, n’apparaissent pas relever d’une gravité telle qu’ils pourraient empêcher sa réintégration au Kosovo au sens de la jurisprudence précitée. Il s’impose d’ailleurs de rappeler que les motifs médicaux constituent avant tout un obstacle à l’exécution du renvoi au sens de l’art. 83 al. 4 LEI. Pour le reste, le recourant apparait avoir gardé des liens avec le Kosovo, puisqu’il a formulé sept demandes de visa pour le Kosovo depuis 2018, ce qu’il admet. Il a passé au Kosovo son enfance, son adolescence, soit la période essentielle pour la formation de sa personnalité, ainsi que les premières années de sa vie d’adulte. Il maîtrise la langue et les codes culturels du pays. S’il se heurtera sans doute à des difficultés, il ne soutient pas que sa réintégration sera impossible et il pourra compter sur l’appui de sa famille et tirer profit des connaissances professionnelles et linguistiques acquises lors de son séjour en Suisse. C’est partant à juste titre que tant l’autorité intimée, qui n’a pas abusé de son pouvoir d’appréciation, que le TAPI, ont retenu que les conditions d’octroi d’une autorisation de séjour n’étaient pas remplies.</w:t>
      </w:r>
    </w:p>
    <w:p>
      <w:r>
        <w:rPr>
          <w:b/>
        </w:rPr>
        <w:t>E. 2.7</w:t>
      </w:r>
    </w:p>
    <w:p>
      <w:r>
        <w:t>Dès lors que l’OCPM a, à juste titre, refusé l’octroi d’une autorisation de séjour au recourant, il devait prononcer son renvoi. ![endif]&gt;![if&gt; En l’espèce, aucun motif ne permet de retenir que l’exécution du renvoi ne serait pas possible, licite ou ne pourrait raisonnablement être exigée. Le recourant ne soutient plus devant la chambre de céans que ses problèmes de santé constitueraient un obstacle à son renvoi au Kosovo. D’ailleurs, comme l’a relevé le TAPI, l’intéressé a commencé un nouvel emploi à temps plein à partir d’avril 2022, ce qui tend à démontrer qu’il a recouvré sa pleine capacité de travail. Au demeurant, et compte tenu de l'infrastructure médicale dont dispose actuellement le Kosovo (soit des hôpitaux étatiques présents dans tous les districts, dont notamment la Clinique universitaire de Pristina qui dispose de tous les départements médicaux), il y a lieu d'admettre que le recourant pourra y trouver un encadrement médical adéquat pour poursuivre, si nécessaire, le traitement entamé en Suisse (arrêts du Tribunal administratif E-6397/2018 du 22 janvier 2019 et F-3505/2018 du 20 novembre 2018 consid. 3.3.2). Entièrement mal fondé, le recours sera rejeté.</w:t>
      </w:r>
    </w:p>
    <w:p>
      <w:r>
        <w:rPr>
          <w:b/>
        </w:rPr>
        <w:t>E. 3</w:t>
      </w:r>
    </w:p>
    <w:p>
      <w:r>
        <w:t>Vu l’issue du litige, un émolument de CHF 400.- sera mis à la charge du recourant,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