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A/97/2024 vom 15. April 2025</w:t>
      </w:r>
    </w:p>
    <w:p>
      <w:r>
        <w:t>GE Cour de justice, 2025-04-15, FR</w:t>
      </w:r>
    </w:p>
    <w:p>
      <w:r>
        <w:rPr>
          <w:b/>
        </w:rPr>
        <w:t xml:space="preserve">Quelle: </w:t>
      </w:r>
      <w:r>
        <w:t>https://mcp.opencaselaw.ch/entscheid/ge_gerichte_A_97_2024</w:t>
      </w:r>
    </w:p>
    <w:p>
      <w:r>
        <w:t>FR: GE_GERICHTE A/97/2024 du 15 avril 2025</w:t>
      </w:r>
    </w:p>
    <w:p>
      <w:r>
        <w:t>IT: GE_GERICHTE A/97/2024 del 15 aprile 2025</w:t>
      </w:r>
    </w:p>
    <w:p>
      <w:pPr>
        <w:pStyle w:val="Heading2"/>
      </w:pPr>
      <w:r>
        <w:t>Regeste</w:t>
      </w:r>
    </w:p>
    <w:p>
      <w:r>
        <w:t>DROIT FISCAL;IMPÔT SUR LE REVENU ET LE BÉNÉFICE;IMPÔT CANTONAL ET COMMUNAL;IMPÔT FÉDÉRAL DIRECT;DÉDUCTION DU REVENU(DROIT FISCAL);AMORTISSEMENT(DROIT FISCAL);DROIT CONSTITUTIONNEL À LA PROTECTION DE LA BONNE FOI;PRINCIPE DE LA BONNE FOI;IMPOSITION DANS LE TEMPS | Rejet du recours de contribuables contre un jugement du TAPI confirmant le refus de l'AFC-GE de prendre en compte un amortissement de CHF 26'925.- pour leur taxation 2021. Amortissement comptabilisé certes pour 2020 mais pas pour 2021. De plus, le fait que l'AFC-GE ait refusé de porter l'amortissement en déduction des revenus 2020 n'implique pas qu'il puisse être reporté à l'année suivante ; l’amortissement se rapportant à l’année 2020 et non pas à l'année 2021, les principes d’étanchéité et de périodicité des exercices fiscaux s’y opposent. Enfin, au vu des circonstances, pas de violation du principe de la bonne foi. | Cst.127.al2; LIFD.3; LIFD.6; LIFD.16.al1; LIFD.18; LIFD.25; LIFD.27.al1; LIFD.28.al1; LIFD.67; Cst.5.al3; Cst.9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l'issue du litige, un émolument de CHF 700.- sera mis à la charge solidaire des recourants (art. 87 al. 1 LPA) et aucune indemnité ne sera allouée (art. 87 al. 2 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