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A/979/2021 vom 6. Oktober 2021</w:t>
      </w:r>
    </w:p>
    <w:p>
      <w:r>
        <w:t>GE Cour de justice, 2021-10-06, FR</w:t>
      </w:r>
    </w:p>
    <w:p>
      <w:r>
        <w:rPr>
          <w:b/>
        </w:rPr>
        <w:t xml:space="preserve">Quelle: </w:t>
      </w:r>
      <w:r>
        <w:t>https://mcp.opencaselaw.ch/entscheid/ge_gerichte_A_979_2021</w:t>
      </w:r>
    </w:p>
    <w:p>
      <w:r>
        <w:t>FR: GE_GERICHTE A/979/2021 du 6 octobre 2021</w:t>
      </w:r>
    </w:p>
    <w:p>
      <w:r>
        <w:t>IT: GE_GERICHTE A/979/2021 del 6 ottobre 2021</w:t>
      </w:r>
    </w:p>
    <w:p>
      <w:pPr>
        <w:pStyle w:val="Heading2"/>
      </w:pPr>
      <w:r>
        <w:t>Erwägungen</w:t>
      </w:r>
    </w:p>
    <w:p>
      <w:r>
        <w:rPr>
          <w:b/>
        </w:rPr>
        <w:t>E. 4</w:t>
      </w:r>
    </w:p>
    <w:p>
      <w:r>
        <w:t>ème Chambre En la cause Monsieur A______, domicilié à GENÈVE, comparant avec élection de domicile en l'étude de Maître Samir DJAZIRI recourant contre OFFICE DE L'ASSURANCE-INVALIDITÉ DU CANTON DE GENÈVE, sis rue des Gares 12, GENÈVE intimé EN FAIT A.      a. Monsieur A______ (ci-après : l’assuré ou le recourant), né le ______ 1961, ressortissant portugais, a exercé depuis 1981 la profession de vidangeur. b. En 2000, il a commencé à souffrir de lombalgies. Une imagerie par résonnance magnétique (ci-après : IRM) effectuée en 2004 a mis en évidence un canal lombaire étroit congénital et une discopathie L3-L4. En 2006, il a présenté un épisode de blocage lombaire. c. Le 30 mars 2007, l’assuré a déposé une demande de prestations à l’office de l’assurance-invalidité du canton de Genève (ci-après : l’OAI ou l’intimé). d. Par décision du 9 juillet 2012, l’OAI a octroyé à l’assuré une demi-rente d’invalidité dès le 1 er décembre 2008. Il ressortait de l’instruction médicale que l’assuré présentait une capacité de travail nulle dans son activité habituelle, et une capacité de travail exigible de 70% dans une activité adaptée. En raison des nombreuses limitations fonctionnelles, un abattement de 10% était accordé sur le salaire avec invalidité, portant la perte de gain à 53,8%. B.       a. En date du 17 janvier 2020, l’assuré a déposé une nouvelle demande de prestations auprès de l’OAI. b. Par décision du 7 mai 2020, l’OAI a refusé d’entrer en matière sur sa nouvelle demande, le droit aux prestations qu’il sollicitait ayant déjà fait l’objet d’une décision entrée en force. Un nouvel examen ne pouvait être envisagé que si l’assuré rendait plausible que l’état de fait s’était modifié après cette date et qu’il était désormais susceptible de changer son droit aux prestations, ce qu’il n’avait pas fait. c. Le 22 juin 2020, l’assuré a une seconde fois déposé une nouvelle demande de prestations auprès de l’OAI. d. Le 10 août 2020, l’assuré a adressé à l’OAI divers documents médiaux : - un rapport du 6 août 2020 de la doctoresse B______, spécialiste FMH en médecine interne générale, laquelle retenait les diagnostics avec impact sur la capacité de travail de cervicobrachialgie avec radiculopathie C7 plus importante à gauche, dans le contexte d’une sténose neuroforaminale sévère au niveau C6-C7 à gauche et une dégénérescence segmentaire C6-C7, et de lombalgies. Les diagnostics sans incidence sur la capacité de travail étaient une rhinite chronique, un RGO, une agénésie de la carotide interne gauche, un HTA traité par IEC, une dyslipidémie et des troubles anxieux. Au vu de la péjoration des douleurs et de leur impact sur la capacité de travail de l’assuré, une augmentation de la rente de 50 à 100% lui paraissait justifiée. - un rapport d’IRM de la colonne lombaire effectuée le 7 novembre 2018, concluant à l’absence de protrusion discale ou de signe de conflit disco-radiculaire, à l’absence d’argument en faveur d’un canal lombaire étroit, à un aspect proéminent des processus épineux de L3, L4 et L5 avec une bursite inter-épineuse inflammatoire évocatrice d’une maladie de Baastrup. - un rapport d’IRM de la colonne cervicale gauche effectuée le 19 février 2019, concluant à une cervicarthrose sans myélopathie cervicarthrosique avec rétrécissements foraminaux sévères d’origine discale en C6-C7 des deux côtés et plutôt d’origine articulaire postérieure en C3-C4 et C4-C5 à gauche. - un rapport du 27 février 2019 du docteur C______, spécialisé en chirurgie orthopédique et traumatologie de l'appareil locomoteur, retenant le diagnostic de cervicalgie et radiculopathie douloureuse et sensitive C7 plus importante à gauche ; de dégénérescence segmentaire C6-C7 et de sténose neuroforaminale C6-C7 plus importante à gauche. Une infiltration péri-radiculaire C7 des deux côtés était prévue. - un rapport du 4 juillet 2019 du Dr C______, retenant le diagnostic principal de probable décompensation de fibromyalgie et le diagnostic secondaire de radiculalgies C7. L’assuré était adressé à un rhumatologue pour des investigations complémentaires. - un rapport sur consultation ambulatoire de la douleur du 19 novembre 2019 des doctoresses D______, spécialiste FMH en pharmacologie et toxicologie cliniques et en médecine interne, et E______, spécialisée en médecine interne, retenant le diagnostic de syndrome douloureux chronique diffus. e. Dans un rapport du 8 décembre 2020, le docteur F______, spécialiste FMH en médecine interne générale et médecin au service médical régional de l’OAI (ci-après : SMR), a retenu, à la lecture des rapports joints à la demande de révision, que ceux-ci concernaient des maladies somatiques prises en compte dans l’instruction initiale. En l’absence d’une aggravation notable et durable de nature à réduire notablement la capacité de travail dans une activité adaptée, il convenait de conclure que l’exigibilité était inchangée depuis la dernière décision. f. Dans un projet de décision du 16 décembre 2020, l’OAI a indiqué à l’assuré qu’il entendait refuser d’entrer en matière sur sa demande de prestations. Un délai de trente jours lui était imparti pour formuler d’éventuelles objections. g. Par décision du 10 février 2021, l’OAI a refusé d’entrer en matière sur la demande de prestations de l’assuré, au motif que les conditions de fait ne s’étaient pas modifiées de manière essentielle depuis la dernière décision entrée en force le 17 octobre 2013. h. Par courrier du 9 février 2021, reçu le 11 février 2021, la Dresse B______ a transmis à l’OAI : - un rapport de physiothérapie établi par Madame G______, qui suivait l’assuré depuis le 17 octobre 2019 : ce dernier prenait quotidiennement des anti-inflammatoires et de la morphine. Tous les mouvements lui provoquaient des douleurs. - un rapport établi le 3 février 2021 par le docteur H______, spécialiste FMH en psychiatrie et psychothérapie, attestant une péjoration de l’état psychique, responsable d’une incapacité entière de travail, et ce de manière chronique. Il a posé le diagnostic de trouble dépressif récurrent, épisode actuel sévère sans symptômes psychotiques (F33.2). L’assuré présentait une psychopathologie sévèrement aggravée depuis environ trois ou quatre mois, avec péjoration sévère de son humeur dépressive, anhédonie, aboulie, troubles cognitifs, ralentissement psychomoteur, péjoration des troubles du sommeil, et des sentiments de désespoir avec des idées noires fluctuantes. i. Par courrier du 12 février 2021, l’OAI a indiqué à l’assuré que son courrier lui était parvenu en dehors du délai de trente jours pour faire valoir son droit d’être entendu. L’assuré avait la possibilité de faire recours à l’encontre de la décision rendue le 10 février 2021. C.       a. Le 15 mars 2021, l’assuré, représenté par un conseil, a saisi la chambre des assurances sociales de la Cour de justice (ci-après : la chambre de céans) d’un recours à l’encontre de la décision précitée, concluant, sous suite de frais et dépens, préalablement à ce qu’une expertise pluridisciplinaire soit ordonnée, et principalement à son annulation, à ce qu’il soit constaté que son degré d’invalidité s’est notablement modifié, et à l’octroi d’une rente entière de l’assurance-invalidité dès le mois de juin 2020. b. Dans sa réponse du 13 avril 2021, l’intimé a conclu au rejet du recours, les documents médicaux produits ne permettant pas, selon l’avis du SMR du 8 décembre 2020, de conclure à l’existence d’une aggravation notable et durable de nature à réduire sa capacité de travail dans une activité adaptée. c. Le 31 mai 2021, le recourant a répliqué, persistant dans ses conclusions. Il présentait une péjoration de son état psychique, dans la mesure où il souffrait d’une psychopathologie dépressive sévère engendrant une incapacité de travail totale. Par ailleurs, il souffrait d’une fibromyalgie, soit une nouvelle pathologie postérieure à la décision du 9 juillet 2012. d.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délai de recours est de trente jours (art. 56 LPGA ; art. 62 al. 1 de la loi sur la procédure administrative du 12 septembre 1985 [LPA - E 5 10]). Interjeté dans la forme et le délai prévus par la loi, le recours est recevable. 5.        Le litige porte sur la question de savoir si l’intimé était en droit de refuser d’entrer en matière sur la demande de révision déposée le 22 juin 2020 par le recourant. Plus précisément, il convient de déterminer si l’état de santé du recourant a connu une modification notable depuis la dernière décision de juillet 2012 lui octroyant une demi-rente d’invalidité, justifiant la révision de ladite décision. 6.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7.        En vertu de l’art. 28 al. 1 LAI (dans sa version en vigueur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modifications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9.        a. Dans le domaine de l’assurance-invalidité, l'art. 87 du règlement sur l'assurance-invalidité, du 17 janvier 1961 (RAI - RS 831.201), dispose que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141 V 9 consid. 2.3 ;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 actuellement 2 - RAI (ATF 130 V 64 consid. 5.2.5 ; arrêt du Tribunal fédéral 8C_880/2017 du 22 juin 2018 consid. 5.1).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 du Tribunal fédéral 8C_880/2017 précité consid. 5.1).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précité consid. 4.1). d.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10.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11.    En l’espèce, le recourant est bénéficiaire d’une demi-rente d’invalidité, accordée par l’intimé en juillet 2012 en se basant sur un degré d’invalidité de 53,8%. L’intimé a retenu que le recourant avait une capacité de travail nulle dans l’activité habituelle et de 70% dans une activité adaptée, et a appliqué un abattement de 10% en raison de ses nombreuses limitations fonctionnelles. Il se pose donc principalement la question de savoir si le recourant, au moment de la décision litigieuse, soit le 10 février 2021, avait rendu plausible une aggravation de son état de santé, survenue depuis le mois de juillet 2012, date de la première décision lui octroyant une demi-rente d’invalidité. Conformément aux dispositions citées supra, l'examen de la chambre de céans se fondera sur les renseignements et documents fournis par le recourant à l'intimé dans le cadre de la prise de décision de cette autorité. Les certificats médicaux transmis postérieurement au recours ne seront pas pris en compte. La décision initiale était principalement basée sur une expertise bi-disciplinaire rhumatologique et psychiatrique effectuée en juin 2010 par le Bureau romand d’expertises médicales (ci-après : le BREM), laquelle a retenu les diagnostics d’épisode dépressif moyen sans syndrome somatique, présent depuis mi-2008, et un status post arthrodèse étendue du carpe droit post-traumatique avec une arthrose secondaire du coude droit et des métacapo-phalangiennes à droite, une spondylose lombaire prédominant à L4 avec cervicarthrose sans signe neurologique, des séquelles modérées de la maladie de Scheuermann, et une coxarthrose bilatérale débutante. Sur cette base, le SMR avait retenu que la capacité de travail du recourant était nulle dans l'activité habituelle dès février 2008, et que dans une activité adaptée, elle était entière depuis novembre 2006 et de 70% depuis le 31 décembre 2008. Les limitations fonctionnelles retenues était : les activités semi-sédentaires, avec changements de positions possibles ; éviter les charges supérieures à 5 kg de manière répétitive et 15 kg occasionnels ; éviter les porte-à-faux, les vibrations à faibles fréquences plus de 2 heures d'affilée et plus de 4 heures par jour, et éviter les positions à genoux. À l’appui de sa demande de révision, le recourant a communiqué à l’OAI un rapport de la Dresse B______ du 6 août 2020, laquelle a indiqué le suivre depuis 2015 et avoir constaté que les douleurs du rachis cervical-dorsal motivant la demande initiale avaient nettement augmenté ces dernières années. Le recourant n’arrivait plus à faire des tâches ménagères à la maison comme quelques années auparavant. Il souffrait de douleurs cervicales avec irradiation dans les épaules, de douleurs lombaires avec irradiation dans la face externe des cuisses et de douleurs touchant l’entièreté du squelette axial. Au status, elle notait une raideur avec une perte de mobilité du rachis globalement et une crispation de la musculature dorsale. Au plan psychique, le recourant était fortement impacté par ses douleurs, avec un sentiment de culpabilité et des angoisses, en lien avec les conséquences de ses douleurs chroniques et sa mobilité réduite. Malgré différentes approches thérapeutiques (médicaments, infiltrations, acupuncture), les douleurs n’avaient pas diminué. Tenant compte de la péjoration des douleurs et leur impact sur la capacité de travail du recourant, une augmentation de la rente de 50% à 100% lui paraissait justifiée. Le recourant a également adressé deux rapports d’IRM à l’OAI, le premier relatif à une IRM de la colonne lombaire effectuée le 7 novembre 2018, concluant à l’absence de protrusion discale ou de signe de conflit disco-radiculaire, à l’absence d’argument en faveur d’un canal lombaire étroit et à un aspect proéminent des processus épineux de L3, L4 et L5 avec une bursite inter-épineuse inflammatoire évocatrice d’une maladie de Baastrup. La seconde IRM, portant sur la colonne cervicale gauche, a été effectuée le 19 février 2019 et a conclu à une cervicarthrose sans myélopathie cervicarthrosique avec rétrécissements foraminaux sévères d’origine discale en C6-C7 des deux côtés et plutôt d’origine articulaire postérieure en C3-C4 et C4-C5 à gauche. Le recourant a enfin joint deux rapports du Dr C______, relatifs à des consultations spécialisées de la colonne vertébrale des 27 février 2019 et 4 juillet 2019. Dans le premier, le Dr C______ a indiqué que le recourant présentait une cervico-brachialgie importante avec une radiculopathie douloureuse et sensitive C7 plus importante à gauche. À l'examen radiologique, on retrouvait une sténose neuroforaminale importante au niveau C6-C7. Il a relevé que le recourant a commencé à ressentir une exacerbation importante des douleurs, qui étaient devenues tellement handicapantes dans la vie quotidienne qu'il peinait à s'habiller. Il se plaignait également d'une limitation de la mobilité, surtout en rotation de la tête. Dans le second rapport du 4 juillet 2019, le Dr C______ a posé le diagnostic de décompensation de fibromyalgie probable. Il a relevé que le recourant se plaignait de douleurs généralisées avec des douleurs plus handicapantes au niveau des épaules et du sterno-cléido-mastoïdien bilatéral, et également au niveau des hanches, des jambes et dans toute la colonne. Constatant que les douleurs au niveau des moignons de l’épaule dans le territoire de C5 étaient sans corrélation claire à l’IRM, et que les douleurs généralisées se présentaient probablement dans le contexte d’une décompensation fibromyalgique, le recourant était adressé chez un rhumatologue pour des investigations supplémentaires. Le recourant a enfin produit le rapport sur consultation ambulatoire de la douleur du 19 novembre 2019 des Dresses D______ et E______, retenant le diagnostic de syndrome douloureux chronique diffus. Elles ont noté que le recourant présentait un fond douloureux avec une majoration des douleurs lors de l'activité physique, même modérée, et une amélioration uniquement par le repos et la position allongée. Le recourant rapportait peu de facteurs soulageant. Les douleurs étaient aggravées en position debout ou assise, en cas d'immobilité ainsi que par temps froid et humide. Il se décrivait comme très limité du point de vue de ses activités de la vie quotidienne, avec parfois l'impossibilité de faire le ménage et la cuisine. Il arrivait toutefois à marcher une petite distance de manière quotidienne (15 à 30 minutes par jour). Les scores de qualité de vie n'avaient pas pu être remplis entièrement par le patient au vu d'une maîtrise du français écrit limitée. Il décrivait son moral comme bas et pleurait à l'évocation de son état psychique. En conclusion, le recourant présentait un syndrome douloureux chronique diffus dont la prise en charge était typiquement multimodale. Une activité physique modérée régulière était nécessaire, et un changement du traitement médicamenteux proposé. En parallèle, compte tenu d'un trouble anxio-dépressif, il était proposé de prendre contact avec un psychiatre lusophone. Dans son rapport du 8 décembre 2020, le Dr F______, du SMR, s'est contenté de relever, mais sans aucunement le discuter, le diagnostic de fibromyalgie décompensée ressortant du rapport du Dr C______. Il s'est ensuite référé aux consultations et avis spécialisés joints à la demande de révision, et a simplement retenu que ceux-ci concernaient des maladies somatiques prises en compte dans l'instruction initiale, et que le tableau clinique serait ainsi similaire à celui décrit dans l'expertise effectuée en 2010. Il a enfin relevé que si les troubles psychiques mentionnés semblaient être source d'empêchements de moindre ampleur qu'initialement, les lésions somatiques articulaires avaient évolué avec le temps sans pour cela modifier les limitations fonctionnelles prises en compte lors de la précédente décision. Or, contrairement à ce que retient le Dr F______, le diagnostic de fibromyalgie n'a pas été retenu dans l'expertise de 2010. De même, le rapport d'IRM de la colonne lombaire de novembre 2018 fait état d'une suspicion d'une maladie de Baastrup, qui n'avait jamais été évoquée auparavant. Par ailleurs, il ressort des divers rapports produits par le recourant devant l'intimé que ses symptômes se sont péjorés, impactant sa capacité de travail d'après la Dresse B______, l'empêchant d'accomplir des tâches ménagères qu'il pouvait auparavant effectuer, telles que préparer les repas pour la famille, faire les courses (accompagné de son épouse) et dépoussiérer l'appartement. Enfin, le Dr F______ soutient que les troubles psychiques présents en 2010 sembleraient être aujourd'hui source d'empêchements de moindre ampleur. Or, le rapport de consultation ambulatoire de la douleur fait état d'un moral bas, d'une tendance à l'anhédonie et d'une importante composante anxieuse, et précise que l'auto-questionnaire de Beck n'avait pas pu être complété en raison d'une compréhension limitée du français. Les Dresses D______ et E______ ont ainsi suggéré, compte tenu d'un trouble anxio-dépressif, d'adresser le recourant à un psychiatre lusophone. On ne saurait ainsi suivre le Dr F______ lorsqu’il soutient que les troubles psychiques seraient une source d'empêchements de moindre ampleur qu'auparavant. Au vu de ce qui précède, compte tenu du contenu des rapports médicaux produits par le recourant devant l'intimé, faisant état de nouveaux diagnostics et d'une péjoration de son état de santé, et de l'important laps de temps (de près de dix ans) s'étant écoulé entre la décision initiale et la demande de révision, l'intimé ne pouvait ainsi refuser d'entrer en matière sur la demande de révision déposée par le recourant et se devait d'instruire celle-ci, notamment en demandant des renseignements complémentaires au médecin traitant. La chambre de céans considère en effet comme plausible que de nouveaux troubles de la santé sont apparus et qu'il y a eu une aggravation des atteintes à la santé mentionnées dans l'expertise diligentée en 2010. Dans ces conditions, la chambre de céans n'a d'autre choix que de renvoyer le dossier à l'intimé afin qu'il instruise avec diligence la question de l'aggravation de la santé du recourant. Dans ce cadre, l'intimé est invité à examiner également les documents produits après l'envoi de la décision querellée et qui n'ont dès lors pu être examinés par la chambre de céans, notamment le rapport du Dr H______ du 3 février 2021. 12.    En conséquence, le recours sera partiellement admis, la décision querellée annulée et la cause renvoyée à l’intimé pour qu’il entre en matière sur la demande de prestations AI déposée le 22 juin 2020 par le recourant, reprenne l’instruction médicale du dossier, puis rende une nouvelle décision, dans le sens des considérants. 13.    Le recourant obtenant partiellement gain de cause, une indemnité de CHF 1'500.- lui est accordée à titre de participation à ses frais et dépens, à charge de l'intimé (art. 61 let. g LPGA ; art. 89H al. 3 LPA ; art. 6 du règlement sur les frais, émoluments et indemnités en procédure administrative du 30 juillet 1986 - RFPA - E 5 10.03). Un émolument de CHF 400.- sera mis à la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