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A/979/2018 vom 29. Mai 2018</w:t>
      </w:r>
    </w:p>
    <w:p>
      <w:r>
        <w:t>GE Cour de justice, 2018-05-29, FR</w:t>
      </w:r>
    </w:p>
    <w:p>
      <w:r>
        <w:rPr>
          <w:b/>
        </w:rPr>
        <w:t xml:space="preserve">Quelle: </w:t>
      </w:r>
      <w:r>
        <w:t>https://mcp.opencaselaw.ch/entscheid/ge_gerichte_A_979_2018</w:t>
      </w:r>
    </w:p>
    <w:p>
      <w:r>
        <w:t>FR: GE_GERICHTE A/979/2018 du 29 mai 2018</w:t>
      </w:r>
    </w:p>
    <w:p>
      <w:r>
        <w:t>IT: GE_GERICHTE A/979/2018 del 29 maggio 2018</w:t>
      </w:r>
    </w:p>
    <w:p>
      <w:pPr>
        <w:pStyle w:val="Heading2"/>
      </w:pPr>
      <w:r>
        <w:t>Erwägungen</w:t>
      </w:r>
    </w:p>
    <w:p>
      <w:r>
        <w:rPr>
          <w:b/>
        </w:rPr>
        <w:t>E. 1</w:t>
      </w:r>
    </w:p>
    <w:p>
      <w:r>
        <w:t>Sont admis au cycle d'orientation les élèves domiciliés dans le canton.</w:t>
      </w:r>
    </w:p>
    <w:p>
      <w:r>
        <w:rPr>
          <w:b/>
        </w:rPr>
        <w:t>E. 2</w:t>
      </w:r>
    </w:p>
    <w:p>
      <w:r>
        <w:t>Peuvent être admis au cycle d'orientation dans la limite des places disponibles et pour autant qu'ils aient déposé leur demande d'admission dans le délai fixé par le département : a)  les élèves genevois domiciliés hors canton ; b)  les élèves habitant en France voisine dont l'un des parents au moins est assujetti à Genève à l'impôt sur le revenu de l'activité rémunérée qu'il exerce de manière permanente dans le canton.</w:t>
      </w:r>
    </w:p>
    <w:p>
      <w:r>
        <w:rPr>
          <w:b/>
        </w:rPr>
        <w:t>E. 3</w:t>
      </w:r>
    </w:p>
    <w:p>
      <w:r>
        <w:t>La demande d’admission au sens de l’alinéa 2 doit être déposée auprès de la direction générale dans le délai fixé chaque année par le département et publié sur le site Internet de ce dernier.</w:t>
      </w:r>
    </w:p>
    <w:p>
      <w:r>
        <w:rPr>
          <w:b/>
        </w:rPr>
        <w:t>E. 4</w:t>
      </w:r>
    </w:p>
    <w:p>
      <w:r>
        <w:t>L'admission des élèves domiciliés dans le canton mais qui ne sont pas issus d'une école publique genevoise doit être demandée auprès de la direction générale, qui statue.</w:t>
      </w:r>
    </w:p>
    <w:p>
      <w:r>
        <w:rPr>
          <w:b/>
        </w:rPr>
        <w:t>E. 5</w:t>
      </w:r>
    </w:p>
    <w:p>
      <w:r>
        <w:t>Les inscriptions des élèves sont effectuées par les directions des établissements ». L’art. 25A RCO, qui concerne l'année scolaire 2017-2018, reprend la teneur de l’art. 25 RCO en vigueur jusqu’au 14 février 2018. 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 En l’espèce, la demande d’admission pour l’année scolaire a été adressée à l’autorité compétente le 23 janvier 2018. Elle tombait alors sous le coup de l’art. 25 aRCO. Compte tenu de la teneur identique de ce dernier article à celle de de l’art. 25B RCO et du texte de la disposition transitoire, le cas peut être tranché dans le cadre du droit actuel. 3) Il n’est pas contesté que la demande d’admission en cause a été présentée dans le délai fixé par le DIP, publié sur son site internet, échéant le 31 janvier 2018. ![endif]&gt;![if&gt; 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du fils des recourants en raison du seul manque de places disponibles, intervenu en cours du processus d’admission pour la rentrée 2018, constitue ainsi un changement de la pratique administrative. 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ATA/596/2015 du 9 juin 2015 consid. 7d et les références citées).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 b. Le droit à la protection de la bonne foi doit en outre être pris en considération. Valant pour l’ensemble de l’activité étatique, le principe de la bonne foi, exprime aux art. 9 et 5 al. 3 Cst. exige que l’administration et les administrés se comportent réciproquement de manière loyale. En particulier, l’administration doit s’abstenir de toute attitude propre a tromper l’administre et elle ne saurait tirer aucun avantage des conséquences d’une incorrection ou insuffisance de sa part (ATF 138 I 49 consid. 8.3 ; 129 I 161 consid. 4 ; 129 II 361 consid. 7.1 ; arrêt du Tribunal fédéral 1C_18/2015 du 22 mai 2015 consid. 3). Il protège le citoyen dans la confiance légitime qu’il met dans les assurances reçues des autorités lorsqu'il a règle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 En matière de changement de pratique, le Tribunal fédéral a ainsi jugé que la modification d’une jurisprudence relative aux conditions de recevabilité d’un recours ne doit pas intervenir sans avertissement, si elle provoque la péremption d’un droit (ATF 140 IV 74 consid. 4.2). 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 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 Dans ces circonstances, le changement de pratique ne pouvait être appliqué immédiatement aux demandes pendantes pour l’admission d’un enfant à la rentrée 2018-2019, dont celle des intéressés. Au vu de ce qui précède, le recours sera admis partiellement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 Il est encore précisé que la chambre de céans ne peut, contrairement à ce que souhaiteraient les recourants, ordonner l’admission de leur fils dans un cycle d’orientation en particulier. Elle ne dispose, en effet, pas du pouvoir de donner une telle instruction à l’autorité intimée, d’une part. D’autre part, la contestation ne portait pas sur le refus d’admettre le fils des recourants dans un établissement en particulier, mais de l’admettre dans l’école publique obligatoire dans le canton de Genève. 4) 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00).![endif]&gt;![if&gt; 5) Aucun émolument ne sera perçu malgré l’issue du litige (art. 87 al. 1 LPA). Aucune indemnité de procédure ne sera allouée, les recourants agissant en personne et n’ayant pas exposé avoir encouru de frais pour la défense de leurs intérêts.![endif]&gt;![if&gt;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