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A/978/2022 vom 13. Juni 2023</w:t>
      </w:r>
    </w:p>
    <w:p>
      <w:r>
        <w:t>GE Cour de justice, 2023-06-13, FR</w:t>
      </w:r>
    </w:p>
    <w:p>
      <w:r>
        <w:rPr>
          <w:b/>
        </w:rPr>
        <w:t xml:space="preserve">Quelle: </w:t>
      </w:r>
      <w:r>
        <w:t>https://mcp.opencaselaw.ch/entscheid/ge_gerichte_A_978_2022</w:t>
      </w:r>
    </w:p>
    <w:p>
      <w:r>
        <w:t>FR: GE_GERICHTE A/978/2022 du 13 juin 2023</w:t>
      </w:r>
    </w:p>
    <w:p>
      <w:r>
        <w:t>IT: GE_GERICHTE A/978/2022 del 13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préalablement son audition. ![endif]&gt;![if&gt;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ne comprend pas le droit à une audition orale (ATF 140 I 285 consid. 6.3.1 ; arrêt du Tribunal fédéral 2D_51/2018 du 17 janvier 2019 consid. 4.1 ; ATA/1173/2020 du 24 novembre 2020 consid. 3a).![endif]&gt;![if&gt;</w:t>
      </w:r>
    </w:p>
    <w:p>
      <w:r>
        <w:rPr>
          <w:b/>
        </w:rPr>
        <w:t>E. 2.2</w:t>
      </w:r>
    </w:p>
    <w:p>
      <w:r>
        <w:t>En l'espèce, le recourant a eu l'occasion d'exposer ses arguments et de produire des pièces, tant devant l'OCPM, le TAPI que la chambre de céans. Il n’indique pas en quoi son audition serait à même d’apporter d’éclairage supplémentaire à ses allégations, telles que figurant déjà à la procédure.![endif]&gt;![if&gt; Il ne sera donc pas donné suite à sa demande de comparution personnelle.</w:t>
      </w:r>
    </w:p>
    <w:p>
      <w:r>
        <w:rPr>
          <w:b/>
        </w:rPr>
        <w:t>E. 3</w:t>
      </w:r>
    </w:p>
    <w:p>
      <w:r>
        <w:t>![endif]&gt;![if&gt;</w:t>
      </w:r>
    </w:p>
    <w:p>
      <w:r>
        <w:rPr>
          <w:b/>
        </w:rPr>
        <w:t>E. 3.1</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LEI, les demandes déposées avant cette date sont régies par l'ancien droit, ce qui est le cas en l'espèce puisque la demande d'autorisation de séjour a été formée en juin 2018. ![endif]&gt;![if&gt;</w:t>
      </w:r>
    </w:p>
    <w:p>
      <w:r>
        <w:rPr>
          <w:b/>
        </w:rPr>
        <w:t>E. 3.2</w:t>
      </w:r>
    </w:p>
    <w:p>
      <w:r>
        <w:t>L'art. 30 al. 1 let. b LEI permet de déroger aux conditions d'admission en Suisse, telles que prévues aux art. 18 à 29 LEI, notamment aux fins de tenir compte des cas individuels d'une extrême gravité ou d'intérêts publics majeurs. ![endif]&gt;![if&gt;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4c).![endif]&gt;![if&gt;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rPr>
          <w:b/>
        </w:rPr>
        <w:t>E. 3.4</w:t>
      </w:r>
    </w:p>
    <w:p>
      <w:r>
        <w:t>L'opération «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![endif]&gt;![if&gt; L'opération «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ATA/254/2023 du 14 mars 2023 consid. 2.1.4).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3.5</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 ATA/432/2023 du 25 avril 2023 consid. 3.6). ![endif]&gt;![if&gt;</w:t>
      </w:r>
    </w:p>
    <w:p>
      <w:r>
        <w:rPr>
          <w:b/>
        </w:rPr>
        <w:t>E. 3.6</w:t>
      </w:r>
    </w:p>
    <w:p>
      <w:r>
        <w:t>En l'espèce, le recourant soutient qu'il réaliserait les conditions de l'opération « Papyrus ». Sur la base de ses propres explications, le TAPI a, à juste titre, retenu qu'il ne remplissait pas la condition de dix ans de séjour continu en Suisse au jour du dépôt de sa demande de régularisation. Il prétend s’être installé en Suisse en 2004, mais son séjour n’est pas démontré de manière continue, ne serait-ce que parce qu’il est retourné au Kosovo plusieurs mois entre 2012 et 2013, étant au demeurant relevé que son relevé de compte AVS couvre certes l’entier des années 2017 et 2018 mais que partiellement les années 2010, 2013 et 2014 et pas du tout les années 2011, 2012, 2015 et 2016. Le fait qu’il soit titulaire du même numéro de téléphone mobile depuis mars 2007 n’est pas probant, puisqu’on ignore tout de l’éventuelle utilisation effective de ce numéro par le recourant. Les transferts d’argent au Kosovo ne permettent pas non plus d’établir un séjour continu. Le recourant ne séjournait donc pas en Suisse de façon continue depuis dix ans au moment du dépôt de sa demande de régularisation le 19 juin 2018. Pour ce motif déjà, il ne pouvait pas être mis au bénéfice de l’opération « Papyrus », n'en remplissant pas l'un des critères cumulatifs.![endif]&gt;![if&gt; Par ailleurs, sa condamnation pour faux dans les certificats ne relève pas d’une infraction à la LEI. Le recourant ne peut ainsi se prévaloir de l’application de l’opération Papyrus. Il ne remplit pas non plus les critères d’un cas d’extrême gravité, dont d’ailleurs l’opération Papyrus n’était qu’une illustration. En effet, comme vu plus haut, la durée de son séjour en Suisse depuis 2013, doit être fortement relativisée du fait qu’elle s’est intégralement déroulée dans l’illégalité, ou au bénéfice d'une tolérance des autorités depuis le dépôt de la demande. Par ailleurs, la condamnation du recourant du 17 juin 2020 n’est pas anodine, puisqu’elle a directement trait à l’un des critères permettant de retenir une intégration sociale réussie, à savoir le respect de l’ordre public. Or, le recourant, en produisant plusieurs faux relevés de travail et une attestation antidatée, a cherché à induire en erreur les autorités en vue d’obtenir un titre de séjour, le fait qu’il se targue d’être la dupe d’un auteur connu des services de police est sans pertinence. Ce comportement dénote un mépris certain pour les institutions du pays. Si le recourant est, certes, indépendant financièrement, n’a pas recouru à l’aide sociale et n’a pas de dettes, de tels éléments ne suffisent pas pour retenir l’existence d’une intégration socio-professionnelle particulièrement réussie. Même s'il possède un niveau A2 en français, il ne prouve ni ne soutient qu’il aurait tissé des liens amicaux ou affectifs particulièrement forts à Genève. Il ne peut dès lors être retenu qu'il aurait fait preuve d'une intégration socioéconomique exceptionnelle en comparaison avec d'autres étrangers qui travaillent en Suisse depuis plusieurs années (arrêts du TAF F-6480/2016 du 15 octobre 2018 consid. 8.2 ; C-5235/2013 du 10 décembre 2015 consid. 8.2). Par ailleurs, il ne rend pas vraisemblable qu’il se serait investi dans la vie associative ou culturelle à Genève. Sa fiche de joueur de football ne mentionne que des participations sporadiques jusqu’à 2013. Enfin, il ne peut se prévaloir d’une ascension professionnelle remarquable au sens de la jurisprudence, ce qu’il ne soutient d’ailleurs pas. En outre, les connaissances professionnelles acquises en Suisse ne sont pas spécifiques au pays, au point qu’il ne pourrait les utiliser au Kosovo. Né au Kosovo, le recourant y a passé toute son enfance, son adolescence et le début de sa vie d’adulte jusqu’à l’âge de 26 ans, âge auquel il dit être arrivé en Suisse. Il connaît les us et coutumes de son pays, la mentalité et en parle la langue. Il y a sa famille, dont son épouse et ses enfants et a demandé à plusieurs reprises des visas de retour au Kosovo pour raisons familiales, ce qui démontre non seulement la continuité des liens familiaux, mais également son absence d’intégration en Suisse. Ainsi, malgré la durée de son séjour en Suisse, son pays ne peut lui être devenu étranger. Âgé de 45 ans et en bonne santé, il pourra faire valoir en cas de retour l’expérience et les compétences acquises en Suisse pour sa réintégration, notamment professionnelle et sociale, et ne devrait ainsi pas rencontrer d’importants problèmes de réintégration professionnelle, plus importants que les difficultés connues par l'ensemble de la population au Kosovo. Sa situation ne permet en tout cas pas de retenir que sa réintégration serait gravement compromise au sens de la jurisprudence. Le recourant ne présente donc pas une situation de détresse personnelle au sens de des art. 30 al. 1 let. b LEI et 31 al. 1 OASA,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 Au vu de ce qui précède, l’OCPM n’a pas violé la loi ni commis un abus de son pouvoir d’appréciation en refusant de préaviser favorablement auprès du SEM la demande d’autorisation de séjour présentée par le recourant.</w:t>
      </w:r>
    </w:p>
    <w:p>
      <w:r>
        <w:rPr>
          <w:b/>
        </w:rPr>
        <w:t>E. 4</w:t>
      </w:r>
    </w:p>
    <w:p>
      <w:r>
        <w:t>Il convient encore d’examiner le bien-fondé du renvoi du recourant.![endif]&gt;![if&gt;</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La décision de renvoi est assortie d'un délai de départ raisonnable (art. 64d al. 1 LEI).![endif]&gt;![if&gt;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w:t>
      </w:r>
    </w:p>
    <w:p>
      <w:r>
        <w:rPr>
          <w:b/>
        </w:rPr>
        <w:t>E. 4.2</w:t>
      </w:r>
    </w:p>
    <w:p>
      <w:r>
        <w:t>En l’occurrence, dès lors qu'il a, à juste titre, refusé l’octroi d’une autorisation de séjour au recourant, l’intimé devait prononcer son renvoi.![endif]&gt;![if&gt; Pour le surplus, le recourant n'allègue pas que le retour dans son pays d’origine serait impossible, illicite ou inexigible au regard de l’art. 83 LEI, et le dossier ne laisse pas apparaître d’éléments qui tendraient à démontrer le contraire. La présence de sa famille au Kosovo, ses retours réguliers au pays et son absence démontrée d’intégration socio-professionnelle particulièrement réussie infirment un ancrage tel en Suisse qu’il s’opposerait à un renvoi. Dans ces circonstances, la décision de l'autorité intimée est conforme au droit et le recours contre le jugement du TAPI, entièrement mal fondé, sera rejeté.</w:t>
      </w:r>
    </w:p>
    <w:p>
      <w:r>
        <w:rPr>
          <w:b/>
        </w:rPr>
        <w:t>E. 5</w:t>
      </w:r>
    </w:p>
    <w:p>
      <w:r>
        <w:t>Vu l’issue du litige, un émolument de CHF 400.- sera mis à la charge du recourant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