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A/977/2024 vom 25. November 2024</w:t>
      </w:r>
    </w:p>
    <w:p>
      <w:r>
        <w:t>GE Cour de justice, 2024-11-25, FR</w:t>
      </w:r>
    </w:p>
    <w:p>
      <w:r>
        <w:rPr>
          <w:b/>
        </w:rPr>
        <w:t xml:space="preserve">Quelle: </w:t>
      </w:r>
      <w:r>
        <w:t>https://mcp.opencaselaw.ch/entscheid/ge_gerichte_A_977_2024</w:t>
      </w:r>
    </w:p>
    <w:p>
      <w:r>
        <w:t>FR: GE_GERICHTE A/977/2024 du 25 novembre 2024</w:t>
      </w:r>
    </w:p>
    <w:p>
      <w:r>
        <w:t>IT: GE_GERICHTE A/977/2024 del 25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le droit de la recourante à une rente d’invalidité, singulièrement sur son statut (actif ou mixte), la valeur probante du rapport du SMR du 23 mars 2023, la valeur probante du rapport d’enquête à domicile et la comparaison des revenus effectuée par l’OAI.</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l’occurrence, la décision querellée porte sur l’octroi d’une rente dont le droit serait né postérieurement au 31 décembre 2021, le délai d’attente d’un an se terminant en février 2022, soit un an après le début de l’incapacité de travail. Le changement de loi est donc applicable en l’espèce et les dispositions légales seront citées dans leur nouvelle teneur.</w:t>
      </w:r>
    </w:p>
    <w:p>
      <w:r>
        <w:rPr>
          <w:b/>
        </w:rPr>
        <w:t>E. 4</w:t>
      </w:r>
    </w:p>
    <w:p>
      <w:r>
        <w:t>Les parties s’opposent tout d’abord sur le statut à reconnaître à la recourante, lequel a des conséquences sur la méthode de calcul applicable. Pour l’OAI, le statut de la recourante est mixte, ce que l’intéressée conteste. Pour elle, il convient de lui reconnaître un statut d’active à 100%.</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28b LAI, dans sa teneur en vigueur depuis le 1 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 taux d’invalidité quotité de la rente 49% 47,5% 48% 45% 47% 42,5% 46% 40% 45% 37,5% 44% 35% 43% 32,5% 42% 30% 41% 27,5% 40% 25%</w:t>
      </w:r>
    </w:p>
    <w:p>
      <w:r>
        <w:rPr>
          <w:b/>
        </w:rPr>
        <w:t>E. 4.2</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rPr>
          <w:b/>
        </w:rPr>
        <w:t>E. 4.2.1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on applique dans ce cas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w:t>
      </w:r>
    </w:p>
    <w:p>
      <w:r>
        <w:rPr>
          <w:b/>
        </w:rPr>
        <w:t>E. 4.2.2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5 al. 1 LAI et 27 du règlement du 17 janvier 1961 sur l’assurance-invalidité - RAI - RS 831.201 ; ATF 137 V 334 consid. 3.1.2). Par travaux habituels, visés à l’art. 7 al. 2 LAI, des assurés travaillant dans le ménage, il faut entendre l’activité usuelle dans le ménage, ainsi que les soins et l’assistance apportés aux proches (art. 27 al. 1 RAI).</w:t>
      </w:r>
    </w:p>
    <w:p>
      <w:r>
        <w:rPr>
          <w:b/>
        </w:rPr>
        <w:t>E. 4.2.3</w:t>
      </w:r>
    </w:p>
    <w:p>
      <w:r>
        <w:t>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C'est la méthode mixte d'évaluation de l'invalidité (art. 28a al. 3 LAI en corrélation avec l'art. 27bis RAI).</w:t>
      </w:r>
    </w:p>
    <w:p>
      <w:r>
        <w:rPr>
          <w:b/>
        </w:rPr>
        <w:t>E. 4.3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Dans un premier grief, la recourante conteste le statut mixte retenu par l’office intimé, alléguant qu’à son arrivée en Suisse, elle voulait travailler à plein temps, mais étant alors sans formation ni diplôme, elle n’avait pas trouvé d’activité à ce taux, accumulant des emplois précaires dans le domaine du nettoyage. Suite à la naissance de son fils, en 1997, elle n’avait pas recherché une activité à un taux supérieur, étant donné qu’elle devait s’occuper de son enfant « selon une répartition "traditionnelle" du ménage ». Depuis l’indépendance de son fils, elle avait à nouveau cherché à augmenter son taux d’activité pour atteindre un temps plein, mais son état de santé ne lui avait pas permis de le faire. Invoquant l’arrêt de la Cour européenne des droits de l’homme (ci-après : CourEDH) Di Trizio c. Suisse du 2 février 2016 (requête n° 7186/09) , elle considère que l’application de la méthode mixte était discriminatoire. Force est toutefois de constater que ces déclarations ne correspondent pas aux réponses données par la recourante, le 25 août 2021, au questionnaire relatif au statut, dans lequel l’intéressée a expliqué travailler à temps partiel depuis 1995, devant s’occuper de son fils et des tâches ménagères. Elle n’avait pas envisagé de réduire ou d’augmenter le taux de son activité professionnelle, car la charge de travail lui convenait. En principe, en présence de deux versions différentes et contradictoires, la préférence doit être accordée à celle que la personne assurée a donnée alors qu'elle en ignorait peut-être les conséquences juridiques, les explications nouvelles pouvant être, consciemment ou non, le fruit de réflexions ultérieures. Certes, cette jurisprudence concernant les premières déclarations ou les déclarations de la première heure ne constitue pas une règle de droit absolue (ATF 142 V 590 consid. 5.2 ; ATF 121 V 45 consid. 2a). Elle trouve toutefois application en l’espèce. En effet, ce n’est qu’après avoir consulté un avocat que la recourante a expliqué qu’en réalité, depuis l’indépendance de son fils, elle aurait aimé travailler à 100%. Or, au moment où elle a rempli le questionnaire sur le statut, en 2021, son fils était âgé de 24 ans. Il était donc autonome depuis de nombreuses années, et cela avant même que l’état de santé de la recourante n’entraîne des répercussions négatives sur sa capacité de travail. En tout état, le dossier ne comporte aucune recherche d’emploi. Dans de telles circonstances, les explications de la recourante quant à une augmentation de son taux d’activité ne sont pas convaincantes. La Cour de céans relèvera encore que la recourante ne peut rien tirer en sa faveur de l'arrêt Di Trizio susmentionné. En effet, dans cet arrêt, la CourEDH avait jugé que l'application de la méthode mixte d'évaluation de l'invalidité à une assurée qui, sans atteinte à la santé, n'aurait travaillé qu'à temps partiel après la naissance de ses enfants et s'était vue de ce fait supprimer la rente d'invalidité en application des règles sur la révision de la rente, constituait une violation de l'art. 14 de la Convention de sauvegarde des droits de l’homme et des libertés fondamentales du 4 novembre 1950 (CEDH - RS 0.101 ; interdiction de la discrimination) en relation avec l'art. 8 CEDH (droit au respect de la vie privée et familiale). Or, en l'espèce, on ne se trouve pas dans l'éventualité d'une suppression de rente par voie de révision, où des motifs d'ordre familiaux auraient conduit à un changement de statut de la personne assurée (ATF 143 I 50 ), mais dans le cadre d'une décision initiale de rente. Le grief doit être écarté. Eu égard aux considérations qui précèdent, c’est à juste titre que l’OAI a retenu un statut mixte.</w:t>
      </w:r>
    </w:p>
    <w:p>
      <w:r>
        <w:rPr>
          <w:b/>
        </w:rPr>
        <w:t>E. 5.2</w:t>
      </w:r>
    </w:p>
    <w:p>
      <w:r>
        <w:t>Dans un deuxième grief, la recourante conteste la répartition entre la sphère professionnelle et la sphère ménagère, établie à 53% et 47% par l’OAI. Elle estime, en se référant à l’art. 17 de son contrat de travail, que son taux d’activité pour le Comptoir immobilier était de 50%, de sorte que, en ajoutant son activité d'agente de propreté, la répartition devait être de 63% pour la sphère professionnelle et de 37% pour la sphère ménagère. Certes, selon l’art. 17 du contrat de travail signé le 27 mai 2004, la recourante devait être présente tous les matins, du lundi au vendredi, de 8h à 12h environ. Cela étant, selon le questionnaire de l’employeur, rempli le 25 juin 2021 par le Comptoir immobilier, la recourante travaillait comme concierge à raison de 17 heures par semaine, le temps de travail habituel dans l’entreprise étant de 42 heures par semaine. Les indications de l’employeur sont plausibles et l’emportent sur la disposition contractuelle générale. En effet, selon l’avenant n° 1 à la Convention collective de travail (CCT) pour les concierges, applicable au contrat conclu avec la recourante, le salaire minimum était de CHF 1'705.55 pour un taux d’occupation de 40% et de CHF 2'131.95 pour un taux d’occupation de 50% en 2018 et de CHF 1'724.30 pour un 40% et de CHF 2'155.40 pour un 50% en 2019 et 2020. Or, la recourante percevait un salaire mensuel de CHF 1'850.- en 2018, 2019 et 2020. Le salaire versé était donc supérieur au salaire minimum prévu pour une activité à 40%, mais inférieur à celui dû pour une activité à 50%. Ainsi, de toute évidence, la recourante exerçait une activité à 40%, pour laquelle elle percevait un salaire légèrement supérieur au salaire minimum prévu par la CCT et non une activité à 50% comme elle prétend sous la plume de son conseil. Partant, la répartition retenue par l’OAI, tenant compte d'une activité professionnelle globale de 53%, soit l'activité de concierge à 40% auxquels s'ajoutent l'activité d'agente de propreté à 13%, ne prête pas flanc à la critique et doit également être confirmée.</w:t>
      </w:r>
    </w:p>
    <w:p>
      <w:r>
        <w:rPr>
          <w:b/>
        </w:rPr>
        <w:t>E. 6</w:t>
      </w:r>
    </w:p>
    <w:p>
      <w:r>
        <w:t>Ensuite, la recourante conteste la capacité de travail retenue par l’OAI, estimant que le rapport du SMR du 24 mars 2023 était en contradiction avec les conclusions du Dr C______ du 23 novembre 2023.</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Selon l'art. 43 al. 1 1 re phrase LPGA, l'assureur examine les demandes, prend d'office les mesures d'instruction nécessaires et recueille les renseignements dont il a besoin. Conformément à l'art. 59 al. 2 et 2bis LAI, des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À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ss ; 125 V 351 consid. 3b/ee ; 123 V 175 consid. 3d ; 122 V 157 consid. 1d ; arrêts du Tribunal fédéral I 143/07 du 14 septembre 2007 consid. 3.3 ; 9C_55/2008 du 26 mai 2008 consid. 4.2 avec références, concernant les cas où le service médical n'examine pas l'assuré, mais se limite à apprécier la documentation médicale déjà versée au dossier).</w:t>
      </w:r>
    </w:p>
    <w:p>
      <w:r>
        <w:rPr>
          <w:b/>
        </w:rPr>
        <w:t>E. 6.3.2</w:t>
      </w:r>
    </w:p>
    <w:p>
      <w:r>
        <w:t>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 8C_429/2014 du 23 mars 2015 consid. 4.2).</w:t>
      </w:r>
    </w:p>
    <w:p>
      <w:r>
        <w:rPr>
          <w:b/>
        </w:rPr>
        <w:t>E. 6.3.3</w:t>
      </w:r>
    </w:p>
    <w:p>
      <w:r>
        <w:t>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7</w:t>
      </w:r>
    </w:p>
    <w:p>
      <w:r>
        <w:t>En l’espèce, l’OAI s’est fondé sur le rapport du SMR du 24 mars 2023 pour considérer que la capacité de travail de la recourante était de 50% dans l’activité habituelle et de 70% dans une activité adaptée.</w:t>
      </w:r>
    </w:p>
    <w:p>
      <w:r>
        <w:rPr>
          <w:b/>
        </w:rPr>
        <w:t>E. 7.1</w:t>
      </w:r>
    </w:p>
    <w:p>
      <w:r>
        <w:t>À titre liminaire, il y a lieu de relever que les Drs F______ et E______, médecins auprès du SMR, ont réalisé un examen sur la personne au sens de l'art. 49 al. 2 RAI. En tant qu'il a été établi par des médecins du SMR, le rapport du 24 mars 2023 ne constitue pas une expertise au sens de l'art. 44 LPGA, comme l’a d’ailleurs relevé la recourante dans son écriture du 18 mars 2024 et comme cela a été admis par l’OAI dans sa réponse du 18 avril 2024. Cela ne signifie toutefois pas pour autant que la valeur probante dudit document doit d'emblée être niée. Elle doit simplement être examinée conformément aux réquisits jurisprudentiels. C’est justement ce qu’a fait la Cour de céans dans son ATAS/1016/2023 du 19 décembre 2023, rendu dans la cause opposant la recourante à son assurance perte de gain, dans lequel elle a retenu que « le rapport d’examen bi-disciplinaire de ces médecins [prenait] position de manière détaillée sur les rapports d’expertise privée des Drs G______ et H______ et [expliquait] de façon motivée et convaincante les raisons pour lesquelles les experts s’en [écartaient]. Tenant compte, par ailleurs, des plaintes de la demanderesse, comportant une anamnèse détaillée, des conclusions claires et cohérentes, rendues à la lumière des indicateurs jurisprudentiels (pour le volet psychiatrique de l’examen), ce rapport d’examen bi-disciplinaire [remplissait] en principe les réquisits permettant de lui reconnaître valeur probante » (consid. 9.2.2). Au demeurant, dans son écriture du 18 mars 2024, la recourante ne critique – en soi – pas la valeur probante du rapport du SMR du 24 mars 2023 mais considère que ses conclusions ne sont en réalité plus d’actualité en raison d’une aggravation de son état de santé entre la date de l’examen et celle de la décision querellée, comme cela ressort du rapport établi le 23 novembre 2023, par son psychiatre traitant, le Dr C______. Interrogé à propos de ce rapport, le SMR a considéré, dans un avis du 19 février 2024, que les atteintes alléguées étaient toujours les mêmes et que le médecin traitant précité ne procédait en réalité qu’à une appréciation différente d’un même état de fait. En parcourant rapidement le rapport du 23 novembre 2023, on pourrait être tenté de considérer, comme l’a fait le SMR dans l’avis précité, que le Dr C______ procède effectivement à une telle appréciation, dès lors que ce médecin persiste à retenir – et ce depuis le début de son suivi – un épisode dépressif sévère sans symptômes psychotiques. Cependant, une lecture attentive du rapport du 23 novembre 2023 et une comparaison avec les rapports des 14 novembre 2022 et 5 janvier 2023 permet de constater une évolution dans les symptômes évoqués par le psychiatre traitant même si le diagnostic est au fond toujours le même. En effet, dans ses rapports des 14 novembre 2022 et 5 janvier 2023, le Dr C______ a mentionné les trois critères de dépression majeure présents, selon lui, tout au long du suivi, à savoir une tristesse quotidienne, une diminution de l’intérêt et du plaisir, et une fatigue importante, persistante et présente dans toutes les activités quotidiennes. Dans ces deux rapports, le psychiatre traitant a également évoqué un ralentissement psychomoteur, des troubles de l’attention et de la concentration importants, des troubles du sommeil, ainsi qu’une intolérance au stress. Lors de son examen du 20 février 2023, le Dr F______, psychiatre auprès du SMR, retrouve une tristesse, permanente en février 2021, mais fluctuante après quelques mois. La réduction de l’énergie et la fatigabilité, décrites par la recourante comme étant permanentes, n’ont pas été retrouvées par le médecin précité. Il en va de même du ralentissement psychomoteur et des troubles de l’attention et de la concentration. Quant aux troubles de la mémoire, ils étaient considérés comme étant limités et légers par le médecin du SMR. Dans son rapport du 23 novembre 2023, le Dr C______ évoque, outre les symptômes déjà mentionnés les 14 novembre 2022 et 5 janvier 2023, pour certains non constatés par le Dr F______ ou considérés comme légers par celui‑ci, une diminution de la confiance en soi, des idées de culpabilité et de dévalorisation, une attitude morose et pessimiste face à l’avenir, une thymie dépressive, une anhédonie, une aboulie, un désespoir et une incapacité à se projeter dans l’avenir. De plus, il qualifie désormais le ralentissement psychomoteur de marqué et considère que plusieurs des symptômes qu’il a mentionnés étaient maintenant sévères. Ainsi en allait-il de la fatigabilité et la diminution de l’énergie, de la perturbation du sommeil, de l’attitude morose face à l’avenir, ainsi que de la diminution de l’attention et de la concentration. Enfin, le psychiatre traitant évoque une constante péjoration de la symptomatologie dépressive et douloureuse ou encore une constante détérioration de son état physique et psychique, expliquant que sa patiente se montre physiquement et psychiquement effondrée à chaque consultation. Étant donné que près de neuf mois se sont écoulés entre l’examen psychiatrique pratiqué par le SMR le 20 février 2023, dont les conclusions ont été retranscrites dans le rapport du 24 mars 2023, et l’appréciation du Dr C______ du 23 novembre 2023, rien ne permettait au SMR de nier, sans avoir procédé à de plus amples investigations, une aggravation de l’état de santé de la recourante. Le fait que le diagnostic d’épisode dépressif sévère posé par le psychiatre traitant soit toujours le même depuis le début du suivi ne permet en effet pas de retenir, comme l’ont fait le SMR et l’OAI, une appréciation différente d’un même état de faits, dans la mesure où de nouveaux symptômes ont été mentionnés par le psychiatre traitant dans son rapport du 23 novembre 2023 (soit : diminution de la confiance en soi, idées de culpabilité et de dévalorisation, attitude morose et pessimiste face à l’avenir, thymie dépressive, anhédonie, aboulie, désespoir et incapacité à se projeter dans l’avenir). S’y ajoute le fait que le Dr C______ a également évoqué une constante péjoration de l’état de santé de la recourante, en qualifiant désormais certains symptômes de marqués ou de sévères (comme le ralentissement psychomoteur, qualifié de marqué en novembre 2023, ou la fatigabilité, la diminution de l’énergie, la perturbation du sommeil, l’attitude morose face à l’avenir et la diminution de l’attention et la concentration, qualifiés de sévères à la même période). Dans ces conditions, le rapport du SMR du 24 mars 2023, établi suite à l’examen du 20 février 2020, ne permet pas d’apprécier l’évolution de la capacité de travail de la recourante jusqu’à la décision querellée, rendue le 27 février 2024, soit plus d’un an après l’examen de la recourante par les médecins du SMR.</w:t>
      </w:r>
    </w:p>
    <w:p>
      <w:r>
        <w:rPr>
          <w:b/>
        </w:rPr>
        <w:t>E. 7.2</w:t>
      </w:r>
    </w:p>
    <w:p>
      <w:r>
        <w:t>Par conséquent, force est de constater que le dossier soumis à la Cour de céans a été instruit de manière sommaire et lacunaire par l’intimé en ce qui concerne la période postérieure à l’examen du SMR. En effet, comme cela a été relevé ci‑dessus, le rapport du SMR se prononçait sur l’état de santé de la recourante au mois de février 2023 alors que la décision querellée a été rendue en février 2024, soit un an après et alors que le psychiatre traitant a évoqué une aggravation de l’état de santé de sa patiente. La Cour de céans n’est ainsi pas en mesure, en l’état actuel du dossier, de tirer des conclusions définitives quant aux atteintes à la santé de la recourante et leurs répercussions sur la capacité de travail. Dans ces circonstances, il y a lieu de renvoyer la cause à l’office intimé pour qu'il ordonne une mise à jour du rapport du SMR ou mette en œuvre une expertise bi‑disciplinaire psychiatrique et rhumatologique. Un renvoi s’impose d’autant plus que selon la jurisprudence, l’OAI doit effectuer une instruction complémentaire s’il existe des doutes, même minimes, quant au bien-fondé d’un rapport du SMR. Or, tel est le cas in casu , vu le rapport du Dr C______ du 23 novembre 2023. Compte tenu du renvoi de la cause à l’OAI pour instruction complémentaire sur le plan médical, la Cour de céans ne donnera pas suite à la demande d’expertise judiciaire formulée par la recourante. À toutes fins utiles, la Cour de céans relèvera encore qu’en raison de ce même renvoi, il n’y a pas lieu d’examiner, à ce stade, les critiques de la recourante concernant notamment la comparaison des revenus et la valeur probante de l’enquête ménagère, celle-ci devant quoi qu’il en soit être réactualisée.</w:t>
      </w:r>
    </w:p>
    <w:p>
      <w:r>
        <w:rPr>
          <w:b/>
        </w:rPr>
        <w:t>E. 8</w:t>
      </w:r>
    </w:p>
    <w:p>
      <w:r>
        <w:t>Eu égard à ce qui précède, le recours sera partiellement admis et la décision du 27 février 2024 sera annulée. La cause sera renvoyée à l'intimé pour instruction complémentaire au sens du considérant qui précède, et nouvelle décision. La recourante obtenant partiellement gain de cause, une indemnité de CHF 1'500.- lui sera accordée à titre de participation à ses frais et dépens (art. 61 let. g LPGA ; art. 6 du règlement sur les frais, émoluments et indemnités en matière administrative du 30 juillet 1986 - RFPA - E 5 10.03). Étant donné que la procédure n'est pas gratuite (art. 69 al. 1bis LAI) et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